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رضي الدين ابن بني القزويني
</w:t>
      </w:r>
    </w:p>
    <w:p>
      <w:pPr>
        <w:jc w:val="start"/>
        <w:bidi/>
      </w:pPr>
      <w:r>
        <w:rPr>
          <w:rFonts w:ascii="arial" w:hAnsi="arial" w:eastAsia="arial" w:cs="arial"/>
          <w:sz w:val="28"/>
          <w:szCs w:val="28"/>
          <w:b w:val="1"/>
          <w:bCs w:val="1"/>
          <w:rtl/>
        </w:rPr>
        <w:t xml:space="preserve">المولى رضي الدين ابن بني القزويني
</w:t>
      </w:r>
    </w:p>
    <w:p>
      <w:pPr/>
      <w:r>
        <w:rPr/>
        <w:t xml:space="preserve">المولى رضي الدين ابن بني القزويني كان حيا سنة 1134. فاضل يعبر عن نفسه في كتاب تظلم الزهراء بنائح الشبل العلوي فيظهر منه أنه كان قارئ المصائب الحسينية له كتاب المقلة العبرا في تظلم الزهراء مطبوع في الذريعة هو كالشرح على الملهوف ومرتب على ترتيبه من المسالك الثلاثة فرغ منه سنة 1118 ورأى صاحب الذريعة نسخة منه كتبت سنة 1134 وقال كاتبها أنه نقلها عن نسخة خط المؤلف حفظه الله فدل ذلك على أنه كان حيا بذلك التاريخ.</w:t>
      </w:r>
    </w:p>
    <w:p>
      <w:pPr>
        <w:jc w:val="start"/>
        <w:bidi/>
      </w:pPr>
      <w:r>
        <w:rPr>
          <w:sz w:val="24"/>
          <w:szCs w:val="24"/>
          <w:b w:val="1"/>
          <w:bCs w:val="1"/>
          <w:rtl/>
        </w:rPr>
        <w:t xml:space="preserve">
أعيان الشيعة،(دار التعارف للمطبوعات - بيروت،1983،ط 1،ج 7،ص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2026-05-03T16:05:39+03:00</dcterms:created>
  <dcterms:modified xsi:type="dcterms:W3CDTF">2026-05-03T16:05:39+03:00</dcterms:modified>
</cp:coreProperties>
</file>

<file path=docProps/custom.xml><?xml version="1.0" encoding="utf-8"?>
<Properties xmlns="http://schemas.openxmlformats.org/officeDocument/2006/custom-properties" xmlns:vt="http://schemas.openxmlformats.org/officeDocument/2006/docPropsVTypes"/>
</file>