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الأمير رضا بن محمد قاسم 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الأمير رضا بن محمد قاسم الحسيني
</w:t>
      </w:r>
    </w:p>
    <w:p>
      <w:pPr/>
      <w:r>
        <w:rPr/>
        <w:t xml:space="preserve">السيد الأمير رضا بن محمد قاسم الحسيني القزويني الجد الأعلى للسيد تقي القزويني</w:t>
      </w:r>
    </w:p>
    <w:p/>
    <w:p>
      <w:pPr/>
      <w:r>
        <w:rPr/>
        <w:t xml:space="preserve">كان حيا سنة 1107. </w:t>
      </w:r>
    </w:p>
    <w:p/>
    <w:p>
      <w:pPr/>
      <w:r>
        <w:rPr/>
        <w:t xml:space="preserve">عالم فاضل كان معاصرا للعلامة المجلسي له من المؤلفات: </w:t>
      </w:r>
    </w:p>
    <w:p/>
    <w:p>
      <w:pPr/>
      <w:r>
        <w:rPr/>
        <w:t xml:space="preserve">1 - بحر المغفرة في أعمال السنة فارسي كبير زاد المعاد وتصنيفه متقدم على زاد المعاد. </w:t>
      </w:r>
    </w:p>
    <w:p/>
    <w:p>
      <w:pPr/>
      <w:r>
        <w:rPr/>
        <w:t xml:space="preserve">2 - الصيامية في أعمال شهر رمضان ألفها سنة 1107.</w:t>
      </w:r>
    </w:p>
    <w:p/>
    <w:p>
      <w:pPr/>
      <w:r>
        <w:rPr/>
        <w:t xml:space="preserve">3 - ترجمة الجنة الوافية الموسوم بالجنة الباقية من العربية إلى الفارسية مطبوع غير مرة. </w:t>
      </w:r>
    </w:p>
    <w:p/>
    <w:p>
      <w:pPr/>
      <w:r>
        <w:rPr/>
        <w:t xml:space="preserve">4 - تجويد القرآن أو رسالة في التجويد.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2026-05-03T15:02:06+03:00</dcterms:created>
  <dcterms:modified xsi:type="dcterms:W3CDTF">2026-05-03T15:02:06+03:00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