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الآقا رضا ابن الميرزا علي نقي ابن المولى محمد
</w:t>
      </w:r>
    </w:p>
    <w:p>
      <w:pPr>
        <w:jc w:val="start"/>
        <w:bidi/>
      </w:pPr>
      <w:r>
        <w:rPr>
          <w:rFonts w:ascii="arial" w:hAnsi="arial" w:eastAsia="arial" w:cs="arial"/>
          <w:sz w:val="28"/>
          <w:szCs w:val="28"/>
          <w:b w:val="1"/>
          <w:bCs w:val="1"/>
          <w:rtl/>
        </w:rPr>
        <w:t xml:space="preserve">الآقا رضا ابن الميرزا علي نقي ابن المولى محمد
</w:t>
      </w:r>
    </w:p>
    <w:p>
      <w:pPr/>
      <w:r>
        <w:rPr/>
        <w:t xml:space="preserve">الآقا رضا ابن الميرزا علي نقي ابن المولى محمد رضا الواعظ الهمذاني نزيل طهران</w:t>
      </w:r>
    </w:p>
    <w:p/>
    <w:p>
      <w:pPr/>
      <w:r>
        <w:rPr/>
        <w:t xml:space="preserve">توفي حدود سنة 1323 وقيل 1324 وفي بعض المواضع سنة 1320 ونيف وفي بعضها بعد 1320. </w:t>
      </w:r>
    </w:p>
    <w:p/>
    <w:p>
      <w:pPr/>
      <w:r>
        <w:rPr/>
        <w:t xml:space="preserve">عالم فاضل عارف واعظ قدير بارع متكلم مؤلف. حضر إلى النجف أيام وجودنا هناك في طلب العلم ونصب له منبر في الصحن الشريف من جهة الشمال ليلا في ظهر الحضرة الشريفة فصعد عليه وجعل يعظ الناس عدة ليال بالفارسية واجتمع تحت منبره خلق كثير وحضرت مجلس وعظه في بعض تلك الليالي فتكلم على أصول الدين واستدل عليها. </w:t>
      </w:r>
    </w:p>
    <w:p/>
    <w:p>
      <w:pPr/>
      <w:r>
        <w:rPr/>
        <w:t xml:space="preserve">مؤلفاته </w:t>
      </w:r>
    </w:p>
    <w:p/>
    <w:p>
      <w:pPr/>
      <w:r>
        <w:rPr/>
        <w:t xml:space="preserve">(1) الأنوار القدسية في الحكمة الإلهية والعقائد الدينية مطبوع في الذريعة في مقدمة طبعه ترجمة أحواله وتصانيفه لكن وقع خطأ مطبعي في تاريخ وفاته ولعل صوابه 1323 اه ولم يتيسر لنا الاطلاع عليه. </w:t>
      </w:r>
    </w:p>
    <w:p/>
    <w:p>
      <w:pPr/>
      <w:r>
        <w:rPr/>
        <w:t xml:space="preserve">(2) الإشارات في المعارف نظير فصوص الحكم في الذريعة لكن فيه ما فيه وليس ما فيه كما وصفه كذلك مصنفه ذكره في مقدمة طبع كتابه الأنوار القدسية. </w:t>
      </w:r>
    </w:p>
    <w:p/>
    <w:p>
      <w:pPr/>
      <w:r>
        <w:rPr/>
        <w:t xml:space="preserve">(3) مفتاح النبوة في إثبات النبوة. </w:t>
      </w:r>
    </w:p>
    <w:p/>
    <w:p>
      <w:pPr/>
      <w:r>
        <w:rPr/>
        <w:t xml:space="preserve">(4) هدية النملة إلى رئيس الملة في الرد على الشيخية مطبوع ألفه باسم الميرزا السيد محمد حسن الشيراري نزيل سامراء. </w:t>
      </w:r>
    </w:p>
    <w:p/>
    <w:p>
      <w:pPr/>
      <w:r>
        <w:rPr/>
        <w:t xml:space="preserve">(5) أرجوزة في النحو في الذريعة ذكرها في مقدمة كتابه الأنوار القدسية وقال إنها تقرب من ألفي بيت. </w:t>
      </w:r>
    </w:p>
    <w:p>
      <w:pPr>
        <w:jc w:val="start"/>
        <w:bidi/>
      </w:pPr>
      <w:r>
        <w:rPr>
          <w:sz w:val="24"/>
          <w:szCs w:val="24"/>
          <w:b w:val="1"/>
          <w:bCs w:val="1"/>
          <w:rtl/>
        </w:rPr>
        <w:t xml:space="preserve">
أعيان الشيعة،(دار التعارف للمطبوعات - بيروت،1983،ط 1،ج 7،ص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2026-05-03T14:59:49+03:00</dcterms:created>
  <dcterms:modified xsi:type="dcterms:W3CDTF">2026-05-03T14:59:49+03:00</dcterms:modified>
</cp:coreProperties>
</file>

<file path=docProps/custom.xml><?xml version="1.0" encoding="utf-8"?>
<Properties xmlns="http://schemas.openxmlformats.org/officeDocument/2006/custom-properties" xmlns:vt="http://schemas.openxmlformats.org/officeDocument/2006/docPropsVTypes"/>
</file>