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مولانا رضا ويقال محمد رضا
</w:t>
      </w:r>
    </w:p>
    <w:p>
      <w:pPr>
        <w:jc w:val="start"/>
        <w:bidi/>
      </w:pPr>
      <w:r>
        <w:rPr>
          <w:rFonts w:ascii="arial" w:hAnsi="arial" w:eastAsia="arial" w:cs="arial"/>
          <w:sz w:val="28"/>
          <w:szCs w:val="28"/>
          <w:b w:val="1"/>
          <w:bCs w:val="1"/>
          <w:rtl/>
        </w:rPr>
        <w:t xml:space="preserve">مولانا رضا ويقال محمد رضا
</w:t>
      </w:r>
    </w:p>
    <w:p>
      <w:pPr/>
      <w:r>
        <w:rPr/>
        <w:t xml:space="preserve">مولانا رضا ويقال محمد رضا ابن مولانا عبد المطلب التبريري</w:t>
      </w:r>
    </w:p>
    <w:p/>
    <w:p>
      <w:pPr/>
      <w:r>
        <w:rPr/>
        <w:t xml:space="preserve">وصفه الشيخ عبد النبي القزويني في تتمة أمل الآمل بالقاضي بعسكر سلطان زماننا وقال كمان آية في الحافظة الجيدة والذهن الثاقب مع جد وجهد وسعي وكد له شرح المفاتيح وكتاب الشافي الجامع بين البحار والوافي مع حذف المكرات والبيانات خرج منه سبع مجلدات ضخام قرأ عند والده وعند الآقا محمد باقر البهبهاني والشيخ محمد مهدي الفتوني العاملي اه والجمع بين البحار والوافي لا يخفى ما فيه من التنافي. </w:t>
      </w:r>
    </w:p>
    <w:p>
      <w:pPr>
        <w:jc w:val="start"/>
        <w:bidi/>
      </w:pPr>
      <w:r>
        <w:rPr>
          <w:sz w:val="24"/>
          <w:szCs w:val="24"/>
          <w:b w:val="1"/>
          <w:bCs w:val="1"/>
          <w:rtl/>
        </w:rPr>
        <w:t xml:space="preserve">
أعيان الشيعة،(دار التعارف للمطبوعات - بيروت،1983،ط 1،ج 7،ص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2026-05-03T14:51:35+03:00</dcterms:created>
  <dcterms:modified xsi:type="dcterms:W3CDTF">2026-05-03T14:51:35+03:00</dcterms:modified>
</cp:coreProperties>
</file>

<file path=docProps/custom.xml><?xml version="1.0" encoding="utf-8"?>
<Properties xmlns="http://schemas.openxmlformats.org/officeDocument/2006/custom-properties" xmlns:vt="http://schemas.openxmlformats.org/officeDocument/2006/docPropsVTypes"/>
</file>