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رزين بن أسيد الكوفي صاحب الرمان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رزين بن أسيد الكوفي صاحب الرمان
</w:t>
      </w:r>
    </w:p>
    <w:p>
      <w:pPr/>
      <w:r>
        <w:rPr/>
        <w:t xml:space="preserve">رزين بن أسيد الكوفي صاحب الرمان ذكره الشيخ في رجاله في أصحاب الصادق عليه السلام. </w:t>
      </w:r>
    </w:p>
    <w:p/>
    <w:p>
      <w:pPr/>
      <w:r>
        <w:rPr/>
        <w:t xml:space="preserve">وصاحب الرمان لعله بائع الرمان ويأتي رزين بن حبيب الجهني أو البكري الكوفي الرماني - أي بائع الرمان ولولا اختلاف الأب لأمكن الاتحاد ويمكن كون أحدهما نسبة إلي الجد.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2026-05-01T19:00:55+03:00</dcterms:created>
  <dcterms:modified xsi:type="dcterms:W3CDTF">2026-05-01T19:00:55+03:00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