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الآقا رحيم ابن الآقا جعفر بن محمد باقر
</w:t>
      </w:r>
    </w:p>
    <w:p>
      <w:pPr>
        <w:jc w:val="start"/>
        <w:bidi/>
      </w:pPr>
      <w:r>
        <w:rPr>
          <w:rFonts w:ascii="arial" w:hAnsi="arial" w:eastAsia="arial" w:cs="arial"/>
          <w:sz w:val="28"/>
          <w:szCs w:val="28"/>
          <w:b w:val="1"/>
          <w:bCs w:val="1"/>
          <w:rtl/>
        </w:rPr>
        <w:t xml:space="preserve">الآقا رحيم ابن الآقا جعفر بن محمد باقر
</w:t>
      </w:r>
    </w:p>
    <w:p>
      <w:pPr/>
      <w:r>
        <w:rPr/>
        <w:t xml:space="preserve">الآقا رحيم ابن الآقا جعفر بن محمد باقر السبزواري صاحب الذخيرة</w:t>
      </w:r>
    </w:p>
    <w:p/>
    <w:p>
      <w:pPr/>
      <w:r>
        <w:rPr/>
        <w:t xml:space="preserve">في تتمة أمل الآمل للقزويني: كان من مشاهير العلماء في زماننا تولى حكومة الشرع في أصبهان في زماننا نحو أربعين سنة وكان شيخ الإسلام قيل إنه لم يعثر له على خط في حكم ولا فتوى في تلك المدة جالسته وحاورته وكان ذا فضل وتحقيق وعلم وتدقيق وعمر كثيرا. </w:t>
      </w:r>
    </w:p>
    <w:p>
      <w:pPr>
        <w:jc w:val="start"/>
        <w:bidi/>
      </w:pPr>
      <w:r>
        <w:rPr>
          <w:sz w:val="24"/>
          <w:szCs w:val="24"/>
          <w:b w:val="1"/>
          <w:bCs w:val="1"/>
          <w:rtl/>
        </w:rPr>
        <w:t xml:space="preserve">
أعيان الشيعة،(دار التعارف للمطبوعات - بيروت،1983،ط 1،ج 6،ص 470)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2026-05-01T18:55:50+03:00</dcterms:created>
  <dcterms:modified xsi:type="dcterms:W3CDTF">2026-05-01T18:55:50+03:00</dcterms:modified>
</cp:coreProperties>
</file>

<file path=docProps/custom.xml><?xml version="1.0" encoding="utf-8"?>
<Properties xmlns="http://schemas.openxmlformats.org/officeDocument/2006/custom-properties" xmlns:vt="http://schemas.openxmlformats.org/officeDocument/2006/docPropsVTypes"/>
</file>