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ذو الفقار بن أبي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ذو الفقار بن أبي طاهر
</w:t>
      </w:r>
    </w:p>
    <w:p>
      <w:pPr/>
      <w:r>
        <w:rPr/>
        <w:t xml:space="preserve">السيد عز الدين ذو الفقار بن أبي طاهر خليفة الجعفري الشرفشاهي</w:t>
      </w:r>
    </w:p>
    <w:p/>
    <w:p>
      <w:pPr/>
      <w:r>
        <w:rPr/>
        <w:t xml:space="preserve">في فهرست منتجب الدين عالم واعظ صالح نقيب السادة بارم اه وفي الرياض (ارم) بكسر الهمزة وفتح الراء والميم أخيرا. </w:t>
      </w:r>
    </w:p>
    <w:p/>
    <w:p>
      <w:pPr/>
      <w:r>
        <w:rPr/>
        <w:t xml:space="preserve">قال: وسبق السيد صفي الدين خليفة العلوي الجعفري الشرفشاهي نقيب السادة بارم وهو جد الرضا بن أحمد بن خليفة الجعفري الأرمي ويأتي السيد جمال الدين الرضا والظاهر إنه ابن عم المترجم.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2026-05-01T13:53:33+03:00</dcterms:created>
  <dcterms:modified xsi:type="dcterms:W3CDTF">2026-05-01T13:53:33+03:00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