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الذهلي
</w:t>
      </w:r>
    </w:p>
    <w:p>
      <w:pPr>
        <w:jc w:val="start"/>
        <w:bidi/>
      </w:pPr>
      <w:r>
        <w:rPr>
          <w:rFonts w:ascii="arial" w:hAnsi="arial" w:eastAsia="arial" w:cs="arial"/>
          <w:sz w:val="28"/>
          <w:szCs w:val="28"/>
          <w:b w:val="1"/>
          <w:bCs w:val="1"/>
          <w:rtl/>
        </w:rPr>
        <w:t xml:space="preserve">الذهلي
</w:t>
      </w:r>
    </w:p>
    <w:p>
      <w:pPr/>
      <w:r>
        <w:rPr/>
        <w:t xml:space="preserve">الذهلي نسبة إلى ذهل في مشتركات الطريحي بضم الذال المعجمة وإسكان الهاء حي من بكر وهما ذهلان ذهل بن شيبان وذهل بن ثعلبة اه في منهج المقال يقال لمحمد بن بندار بن عاصم وفي النقد أيضا لحميد بن راشد اه ويقال أيضا لبشر بن حسان وحميد بن رشاد وحميد أبي غسان وخالد بن المعمر وسماك بن حرب ومحمد بن عمار. </w:t>
      </w:r>
    </w:p>
    <w:p>
      <w:pPr>
        <w:jc w:val="start"/>
        <w:bidi/>
      </w:pPr>
      <w:r>
        <w:rPr>
          <w:sz w:val="24"/>
          <w:szCs w:val="24"/>
          <w:b w:val="1"/>
          <w:bCs w:val="1"/>
          <w:rtl/>
        </w:rPr>
        <w:t xml:space="preserve">
أعيان الشيعة،(دار التعارف للمطبوعات - بيروت،1983،ط 1،ج 6،ص 432)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2026-05-01T13:46:58+03:00</dcterms:created>
  <dcterms:modified xsi:type="dcterms:W3CDTF">2026-05-01T13:46:58+03:00</dcterms:modified>
</cp:coreProperties>
</file>

<file path=docProps/custom.xml><?xml version="1.0" encoding="utf-8"?>
<Properties xmlns="http://schemas.openxmlformats.org/officeDocument/2006/custom-properties" xmlns:vt="http://schemas.openxmlformats.org/officeDocument/2006/docPropsVTypes"/>
</file>