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كورة القمي أبو سليمان
</w:t>
      </w:r>
    </w:p>
    <w:p>
      <w:pPr>
        <w:jc w:val="start"/>
        <w:bidi/>
      </w:pPr>
      <w:r>
        <w:rPr>
          <w:rFonts w:ascii="arial" w:hAnsi="arial" w:eastAsia="arial" w:cs="arial"/>
          <w:sz w:val="28"/>
          <w:szCs w:val="28"/>
          <w:b w:val="1"/>
          <w:bCs w:val="1"/>
          <w:rtl/>
        </w:rPr>
        <w:t xml:space="preserve">داود بن كورة القمي أبو سليمان
</w:t>
      </w:r>
    </w:p>
    <w:p>
      <w:pPr/>
      <w:r>
        <w:rPr/>
        <w:t xml:space="preserve">داود بن كورة القمي أبو سليمان في التعليقة هو من مشايخ الكليني والظاهر جلالته وقال النجاشي: داود بن كورة أبو سليمان القمي هو الذي بوب كتاب النوادر لأحمد بن محمد بن عيسى وكتاب المشيخة للحسن بن محبوب السراد على معاني الفقه له كتاب الرحمة في الوضوء والصلاة والزكة والصوم والحج أخبرنا محمد بن علي القزويني حدثنا أحمد بن محمد يحيى حدثنا داود وقال الشيخ في رجاله في باب من لم يرو عنهم عليهم السلام داود بن كورة القمي بوب كتاب النوادر لأحمد بن محمد بن عيسى وفي الفهرست مثله وزاد له كتاب الرحمة مثل كتاب سعد بن عبد الله اه وهو أحد العدة عن أحمد بن محمد بن عيسى. </w:t>
      </w:r>
    </w:p>
    <w:p/>
    <w:p>
      <w:pPr/>
      <w:r>
        <w:rPr/>
        <w:t xml:space="preserve">التمييز</w:t>
      </w:r>
    </w:p>
    <w:p/>
    <w:p>
      <w:pPr/>
      <w:r>
        <w:rPr/>
        <w:t xml:space="preserve">في مشتركات الطريحي والكاظمي يعرف برواية أحمد بن محمد بن يحيى عنه. </w:t>
      </w:r>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2026-05-01T10:44:09+03:00</dcterms:created>
  <dcterms:modified xsi:type="dcterms:W3CDTF">2026-05-01T10:44:09+03:00</dcterms:modified>
</cp:coreProperties>
</file>

<file path=docProps/custom.xml><?xml version="1.0" encoding="utf-8"?>
<Properties xmlns="http://schemas.openxmlformats.org/officeDocument/2006/custom-properties" xmlns:vt="http://schemas.openxmlformats.org/officeDocument/2006/docPropsVTypes"/>
</file>