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شاه خوندر كار بن شاه محمد
</w:t>
      </w:r>
    </w:p>
    <w:p>
      <w:pPr>
        <w:jc w:val="start"/>
        <w:bidi/>
      </w:pPr>
      <w:r>
        <w:rPr>
          <w:rFonts w:ascii="arial" w:hAnsi="arial" w:eastAsia="arial" w:cs="arial"/>
          <w:sz w:val="28"/>
          <w:szCs w:val="28"/>
          <w:b w:val="1"/>
          <w:bCs w:val="1"/>
          <w:rtl/>
        </w:rPr>
        <w:t xml:space="preserve">السيد شاه خوندر كار بن شاه محمد
</w:t>
      </w:r>
    </w:p>
    <w:p>
      <w:pPr/>
      <w:r>
        <w:rPr/>
        <w:t xml:space="preserve">السيد شاه خوندر كار بن شاه محمد ابن شاه علي عرب شاه الحسيني</w:t>
      </w:r>
    </w:p>
    <w:p/>
    <w:p>
      <w:pPr/>
      <w:r>
        <w:rPr/>
        <w:t xml:space="preserve">في مآثر دكن هو ابن عمة السلطان عبد الله قطبشاه السابع واستوزره السلطان المذكور في السنة الأولى من سلطنته ولكنه فصل من الوزارة بعد سنتين وخلفه في الوزارة الشيخ محمد بن خاتون (ره) ولكنه كان في عهد مخدومه محترما وكان يجوز له الجلوس في يسار سرير السلطنة يدل على تشيعه ما كتب على قبره وهذا نصه (لا إله إلا الله محمد رسول الله علي ولي الله حقا حقا) لم يذكر تاريخ وفاته. </w:t>
      </w:r>
    </w:p>
    <w:p>
      <w:pPr>
        <w:jc w:val="start"/>
        <w:bidi/>
      </w:pPr>
      <w:r>
        <w:rPr>
          <w:sz w:val="24"/>
          <w:szCs w:val="24"/>
          <w:b w:val="1"/>
          <w:bCs w:val="1"/>
          <w:rtl/>
        </w:rPr>
        <w:t xml:space="preserve">
أعيان الشيعة،(دار التعارف للمطبوعات - بيروت،1983،ط 1،ج 6،ص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2026-05-01T07:16:05+03:00</dcterms:created>
  <dcterms:modified xsi:type="dcterms:W3CDTF">2026-05-01T07:16:05+03:00</dcterms:modified>
</cp:coreProperties>
</file>

<file path=docProps/custom.xml><?xml version="1.0" encoding="utf-8"?>
<Properties xmlns="http://schemas.openxmlformats.org/officeDocument/2006/custom-properties" xmlns:vt="http://schemas.openxmlformats.org/officeDocument/2006/docPropsVTypes"/>
</file>