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خميس بن صالح الخلف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خميس بن صالح الخلف آبادي
</w:t>
      </w:r>
    </w:p>
    <w:p>
      <w:pPr/>
      <w:r>
        <w:rPr/>
        <w:t xml:space="preserve">الشيخ خميس بن صالح الخلف آبادي توفي في عشر الستين بعد المائة وألف. </w:t>
      </w:r>
    </w:p>
    <w:p/>
    <w:p>
      <w:pPr/>
      <w:r>
        <w:rPr/>
        <w:t xml:space="preserve">ذكره السيد عبد الله بن نور الدين بن نعمة الله الجزائري في ذيل إجازته الكبيرة فقال: كان عالما ورعا مرضيا مرجوعا إليه اجتمعت به في الحويزة وفي بلادنا لما قدم إليها وكان معه مجلدات من كتاب الشفاء وكنا نتفاوض في بعض مقاصده ونتناظر في مواقع أشكالها.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2026-05-01T06:15:18+03:00</dcterms:created>
  <dcterms:modified xsi:type="dcterms:W3CDTF">2026-05-01T06:15:18+03:00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