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المكارم حمزة بن الامام موسى الكاظم ع
</w:t>
      </w:r>
    </w:p>
    <w:p>
      <w:pPr>
        <w:jc w:val="start"/>
        <w:bidi/>
      </w:pPr>
      <w:r>
        <w:rPr>
          <w:rFonts w:ascii="arial" w:hAnsi="arial" w:eastAsia="arial" w:cs="arial"/>
          <w:sz w:val="28"/>
          <w:szCs w:val="28"/>
          <w:b w:val="1"/>
          <w:bCs w:val="1"/>
          <w:rtl/>
        </w:rPr>
        <w:t xml:space="preserve">أبو المكارم حمزة بن الامام موسى الكاظم ع
</w:t>
      </w:r>
    </w:p>
    <w:p>
      <w:pPr/>
      <w:r>
        <w:rPr/>
        <w:t xml:space="preserve">أبو المكارم حمزة بن الامام موسى الكاظم ع في كتاب السيد ضامن بن شدقم الحسيني المدني في‏الأنساب‏ كما في نسخة مخطوطة رأيناها في طهران من بقايا مكتبة الشيخ فضل الله النوري: أمه أم ولد كان عالما فاضلا كاملا صينا دينا جليلا رفيع المنزلة عالي الرتبة عظيم الحظ والجاه والعز والابتهال محبوبا عند الخاص والعام سافر مع أخيه الرضا ع إلى خراسان واقفا في خدمته ساعيا في ماربه طالبا لرضاه ممتثلا لأمره فلما وصلا إلى سوسمر احدى قرى سر (كذا) خرج عليهما قوم من رؤساء المأمون (كذا) فقتلوه وقبره أخوه الامام الرضا (ع) في بستان بها. </w:t>
      </w:r>
    </w:p>
    <w:p>
      <w:pPr>
        <w:jc w:val="start"/>
        <w:bidi/>
      </w:pPr>
      <w:r>
        <w:rPr>
          <w:sz w:val="24"/>
          <w:szCs w:val="24"/>
          <w:b w:val="1"/>
          <w:bCs w:val="1"/>
          <w:rtl/>
        </w:rPr>
        <w:t xml:space="preserve">
أعيان الشيعة،(دار التعارف للمطبوعات - بيروت،1983،ط 1،ج 6،ص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2026-04-30T16:29:43+03:00</dcterms:created>
  <dcterms:modified xsi:type="dcterms:W3CDTF">2026-04-30T16:29:43+03:00</dcterms:modified>
</cp:coreProperties>
</file>

<file path=docProps/custom.xml><?xml version="1.0" encoding="utf-8"?>
<Properties xmlns="http://schemas.openxmlformats.org/officeDocument/2006/custom-properties" xmlns:vt="http://schemas.openxmlformats.org/officeDocument/2006/docPropsVTypes"/>
</file>