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القتات
</w:t>
      </w:r>
    </w:p>
    <w:p>
      <w:pPr>
        <w:jc w:val="start"/>
        <w:bidi/>
      </w:pPr>
      <w:r>
        <w:rPr>
          <w:rFonts w:ascii="arial" w:hAnsi="arial" w:eastAsia="arial" w:cs="arial"/>
          <w:sz w:val="28"/>
          <w:szCs w:val="28"/>
          <w:b w:val="1"/>
          <w:bCs w:val="1"/>
          <w:rtl/>
        </w:rPr>
        <w:t xml:space="preserve">الحكم القتات
</w:t>
      </w:r>
    </w:p>
    <w:p>
      <w:pPr/>
      <w:r>
        <w:rPr/>
        <w:t xml:space="preserve">الحكم القتات قال النجاشي كوفي ثقة قليل الحديث له كتاب يرويه عن أبي القاسم عبد الرحمن بن أبي هاشم البجلي أخبرنا الحسين بن عبيد الله حدثنا أحمد بن جعفر حدثنا حميد بن زياد حدثنا القاسم بن محمد بن الحسين بن حازم عن عبد الرحمن بن أبي هاشم عن حكم بكتابه.</w:t>
      </w:r>
    </w:p>
    <w:p/>
    <w:p>
      <w:pPr/>
      <w:r>
        <w:rPr/>
        <w:t xml:space="preserve">التمييز</w:t>
      </w:r>
    </w:p>
    <w:p/>
    <w:p>
      <w:pPr/>
      <w:r>
        <w:rPr/>
        <w:t xml:space="preserve">في مشتركات الطريحي والكاظمي يعرف برواية عبد الرحمن ابن أبي هاشم عنه.</w:t>
      </w:r>
    </w:p>
    <w:p>
      <w:pPr>
        <w:jc w:val="start"/>
        <w:bidi/>
      </w:pPr>
      <w:r>
        <w:rPr>
          <w:sz w:val="24"/>
          <w:szCs w:val="24"/>
          <w:b w:val="1"/>
          <w:bCs w:val="1"/>
          <w:rtl/>
        </w:rPr>
        <w:t xml:space="preserve">
أعيان الشيعة،(دار التعارف للمطبوعات - بيروت،1983،ط 1،ج 6،ص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2026-04-30T10:28:49+03:00</dcterms:created>
  <dcterms:modified xsi:type="dcterms:W3CDTF">2026-04-30T10:28:49+03:00</dcterms:modified>
</cp:coreProperties>
</file>

<file path=docProps/custom.xml><?xml version="1.0" encoding="utf-8"?>
<Properties xmlns="http://schemas.openxmlformats.org/officeDocument/2006/custom-properties" xmlns:vt="http://schemas.openxmlformats.org/officeDocument/2006/docPropsVTypes"/>
</file>