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مفلح
</w:t>
      </w:r>
    </w:p>
    <w:p>
      <w:pPr>
        <w:jc w:val="start"/>
        <w:bidi/>
      </w:pPr>
      <w:r>
        <w:rPr>
          <w:rFonts w:ascii="arial" w:hAnsi="arial" w:eastAsia="arial" w:cs="arial"/>
          <w:sz w:val="28"/>
          <w:szCs w:val="28"/>
          <w:b w:val="1"/>
          <w:bCs w:val="1"/>
          <w:rtl/>
        </w:rPr>
        <w:t xml:space="preserve">ابن مفلح
</w:t>
      </w:r>
    </w:p>
    <w:p>
      <w:pPr/>
      <w:r>
        <w:rPr/>
        <w:t xml:space="preserve">ابن مفلح  إبراهيم بن محمد بن عبد الله بن محمد ابن مفلح، أبو اسحاق، برهان الدين مؤرخ من قضاء الحنابلة. مولده ووفاته في دمشق. وولى قضاءها سنة 851 وعين لقضاء الديار المصرية سنة 876 فلم يذهب. من محاسنه اخماد الفتن التي كانت تقع بين فقهاء الحنابلة وغيرهم في دمشق، ولم يكن يتعصب لاحد. باشر القضاء في الديار الشامية نيابة واستقلالا اكثر من اربعين سنة. من كتبه (المقصد الأرشد في ذكر أصحاب الإمام أحمد - خ) و (المبدع في شرح المقنع) فقه، أربع مجلدات، و (مرقاة الوصول إلى علم الأصول). </w:t>
      </w:r>
    </w:p>
    <w:p>
      <w:pPr>
        <w:jc w:val="start"/>
        <w:bidi/>
      </w:pPr>
      <w:r>
        <w:rPr>
          <w:sz w:val="24"/>
          <w:szCs w:val="24"/>
          <w:b w:val="1"/>
          <w:bCs w:val="1"/>
          <w:rtl/>
        </w:rPr>
        <w:t xml:space="preserve">
الأعلام،(دار العلم للملايين - بيروت،2002،ط 15،ج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2026-07-27T09:33:04+03:00</dcterms:created>
  <dcterms:modified xsi:type="dcterms:W3CDTF">2026-07-27T09:33:04+03:00</dcterms:modified>
</cp:coreProperties>
</file>

<file path=docProps/custom.xml><?xml version="1.0" encoding="utf-8"?>
<Properties xmlns="http://schemas.openxmlformats.org/officeDocument/2006/custom-properties" xmlns:vt="http://schemas.openxmlformats.org/officeDocument/2006/docPropsVTypes"/>
</file>