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حسين بن منصور صاحب الحاوي
</w:t>
      </w:r>
    </w:p>
    <w:p>
      <w:pPr>
        <w:jc w:val="start"/>
        <w:bidi/>
      </w:pPr>
      <w:r>
        <w:rPr>
          <w:rFonts w:ascii="arial" w:hAnsi="arial" w:eastAsia="arial" w:cs="arial"/>
          <w:sz w:val="28"/>
          <w:szCs w:val="28"/>
          <w:b w:val="1"/>
          <w:bCs w:val="1"/>
          <w:rtl/>
        </w:rPr>
        <w:t xml:space="preserve">الشيخ حسين بن منصور صاحب الحاوي
</w:t>
      </w:r>
    </w:p>
    <w:p>
      <w:pPr/>
      <w:r>
        <w:rPr/>
        <w:t xml:space="preserve">الشيخ حسين بن منصور صاحب الحاوي في كشكول البحراني عنه ذكر فائدة في أنه هل لغير المجتهد الناقل عن المجتهدين القضاء بين الناس مع فقد المجتهد قال بعض المتأخرين بالجواز للضرورة واختاره الشيخ حسين بن مفلح الصيمري في رسالة عملها في المسألة ونقل فيها عن الشيخ الفاضل الشيخ حسين بن منصور صاحب الحاوي قال فإنه قال فيه لو لم يوجد جامع الشرائط جاز نصب فاقد بعضها مع عدالته للحاجة إليه بل يجب من جهة الأمر بالمعروف والنهي عن المنكر إلى آخر ما قاله.</w:t>
      </w:r>
    </w:p>
    <w:p>
      <w:pPr>
        <w:jc w:val="start"/>
        <w:bidi/>
      </w:pPr>
      <w:r>
        <w:rPr>
          <w:sz w:val="24"/>
          <w:szCs w:val="24"/>
          <w:b w:val="1"/>
          <w:bCs w:val="1"/>
          <w:rtl/>
        </w:rPr>
        <w:t xml:space="preserve">
أعيان الشيعة،(دار التعارف للمطبوعات - بيروت،1983،ط 1،ج 6،ص 175)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2026-04-30T04:14:01+03:00</dcterms:created>
  <dcterms:modified xsi:type="dcterms:W3CDTF">2026-04-30T04:14:01+03:00</dcterms:modified>
</cp:coreProperties>
</file>

<file path=docProps/custom.xml><?xml version="1.0" encoding="utf-8"?>
<Properties xmlns="http://schemas.openxmlformats.org/officeDocument/2006/custom-properties" xmlns:vt="http://schemas.openxmlformats.org/officeDocument/2006/docPropsVTypes"/>
</file>