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مهدي الشاه عبد العظيمي
</w:t>
      </w:r>
    </w:p>
    <w:p>
      <w:pPr>
        <w:jc w:val="start"/>
        <w:bidi/>
      </w:pPr>
      <w:r>
        <w:rPr>
          <w:rFonts w:ascii="arial" w:hAnsi="arial" w:eastAsia="arial" w:cs="arial"/>
          <w:sz w:val="28"/>
          <w:szCs w:val="28"/>
          <w:b w:val="1"/>
          <w:bCs w:val="1"/>
          <w:rtl/>
        </w:rPr>
        <w:t xml:space="preserve">الشيخ حسين بن محمد مهدي الشاه عبد العظيمي
</w:t>
      </w:r>
    </w:p>
    <w:p>
      <w:pPr/>
      <w:r>
        <w:rPr/>
        <w:t xml:space="preserve">الشيخ حسين بن محمد مهدي الشاه عبد العظيمي عالم فاضل من تلاميذ الشيخ مرتضى الأنصاري له تقرير بحث أستاذه المذكور في مقدمة الواجب واجتماع الأمر والنهي والتعادل والتراجيح والاجتهاد كتبه سنة 1262 ومر في حسن فليراجع.</w:t>
      </w:r>
    </w:p>
    <w:p>
      <w:pPr>
        <w:jc w:val="start"/>
        <w:bidi/>
      </w:pPr>
      <w:r>
        <w:rPr>
          <w:sz w:val="24"/>
          <w:szCs w:val="24"/>
          <w:b w:val="1"/>
          <w:bCs w:val="1"/>
          <w:rtl/>
        </w:rPr>
        <w:t xml:space="preserve">
أعيان الشيعة،(دار التعارف للمطبوعات - بيروت،1983،ط 1،ج 6،ص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2026-04-30T02:06:59+03:00</dcterms:created>
  <dcterms:modified xsi:type="dcterms:W3CDTF">2026-04-30T02:06:59+03:00</dcterms:modified>
</cp:coreProperties>
</file>

<file path=docProps/custom.xml><?xml version="1.0" encoding="utf-8"?>
<Properties xmlns="http://schemas.openxmlformats.org/officeDocument/2006/custom-properties" xmlns:vt="http://schemas.openxmlformats.org/officeDocument/2006/docPropsVTypes"/>
</file>