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حسين الشهير بالكسائي ابن محمد بن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حسين الشهير بالكسائي ابن محمد بن علي
</w:t>
      </w:r>
    </w:p>
    <w:p>
      <w:pPr/>
      <w:r>
        <w:rPr/>
        <w:t xml:space="preserve">الشيخ حسين الشهير بالكسائي ابن محمد بن علي ابن عبد الغفور بن غلام علي البافقي اليزدي الحائري</w:t>
      </w:r>
    </w:p>
    <w:p/>
    <w:p>
      <w:pPr/>
      <w:r>
        <w:rPr/>
        <w:t xml:space="preserve">توفي بكربلاء حدود سنة 1310. عالم فاضل له التحفة الكسائية في أحوال الخمسة الطاهرة أصحاب الكساء.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2026-04-30T00:48:36+03:00</dcterms:created>
  <dcterms:modified xsi:type="dcterms:W3CDTF">2026-04-30T00:48:36+03:00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