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بن محمد بن عبد الله
</w:t>
      </w:r>
    </w:p>
    <w:p>
      <w:pPr>
        <w:jc w:val="start"/>
        <w:bidi/>
      </w:pPr>
      <w:r>
        <w:rPr>
          <w:rFonts w:ascii="arial" w:hAnsi="arial" w:eastAsia="arial" w:cs="arial"/>
          <w:sz w:val="28"/>
          <w:szCs w:val="28"/>
          <w:b w:val="1"/>
          <w:bCs w:val="1"/>
          <w:rtl/>
        </w:rPr>
        <w:t xml:space="preserve">بندار بن محمد بن عبد الله
</w:t>
      </w:r>
    </w:p>
    <w:p>
      <w:pPr/>
      <w:r>
        <w:rPr/>
        <w:t xml:space="preserve">بندار بن محمد بن عبد الله في الخلاصة بندار بضم الباء وإسكان النون وبعدها الدال غير المعجمة والراء أخيرا. وفي فهرست ابن النديم بندار بن محمد بن عبد الله الفقيه متقدم (انتهى) وقال النجاشي بندار بن محمد بن عبد الله إمامي متقدم ومثله في فهرست الشيخ. وابن النديم ألف الفهرست سنة 378 فهو متقدم على هذا التاريخ بزمن كثير كما هو الظاهر من قول ابن النديم متقدم وذكره الشيخ في رجاله فيمن لم يرو عنهم عليه السلام وقال له كتب ذكرناها في الفهرست.</w:t>
      </w:r>
    </w:p>
    <w:p/>
    <w:p>
      <w:pPr/>
      <w:r>
        <w:rPr/>
        <w:t xml:space="preserve">مؤلفاته</w:t>
      </w:r>
    </w:p>
    <w:p/>
    <w:p>
      <w:pPr/>
      <w:r>
        <w:rPr/>
        <w:t xml:space="preserve">قال ابن النديم وله من الكتب</w:t>
      </w:r>
    </w:p>
    <w:p/>
    <w:p>
      <w:pPr/>
      <w:r>
        <w:rPr/>
        <w:t xml:space="preserve">(1) كتاب الطهارة</w:t>
      </w:r>
    </w:p>
    <w:p/>
    <w:p>
      <w:pPr/>
      <w:r>
        <w:rPr/>
        <w:t xml:space="preserve">(2) كتاب الصلاة</w:t>
      </w:r>
    </w:p>
    <w:p/>
    <w:p>
      <w:pPr/>
      <w:r>
        <w:rPr/>
        <w:t xml:space="preserve">(3) كتاب الصيام</w:t>
      </w:r>
    </w:p>
    <w:p/>
    <w:p>
      <w:pPr/>
      <w:r>
        <w:rPr/>
        <w:t xml:space="preserve">(4) كتاب الحج</w:t>
      </w:r>
    </w:p>
    <w:p/>
    <w:p>
      <w:pPr/>
      <w:r>
        <w:rPr/>
        <w:t xml:space="preserve">(5) كتاب الزكاة قال وله غير ذلك من الكتب على نسق الأصول وله من الكتب غير ذلك</w:t>
      </w:r>
    </w:p>
    <w:p/>
    <w:p>
      <w:pPr/>
      <w:r>
        <w:rPr/>
        <w:t xml:space="preserve">(6) كتاب الإمامة من جهة الخبر</w:t>
      </w:r>
    </w:p>
    <w:p/>
    <w:p>
      <w:pPr/>
      <w:r>
        <w:rPr/>
        <w:t xml:space="preserve">(7) كتاب المتعة</w:t>
      </w:r>
    </w:p>
    <w:p/>
    <w:p>
      <w:pPr/>
      <w:r>
        <w:rPr/>
        <w:t xml:space="preserve">(8) كتاب العمرة وقال النجاشي بعد ذكر الخمسة الأول ذكر ذلك أبو الفرج محمد بن إسحاق أبي يعقوب النديم في كتاب الفهرست وذكر أيضا له كتابا في الإمامة وكتابا في المتعة وكتابا في العمرة وفي فهرست الشيخ له كتب منها وذكر عين عبارة ابن النديم ثم قال ذكر ذلك أبو الفرج محمد بن إسحاق أبي يعقوب النديم في كتابه.</w:t>
      </w:r>
    </w:p>
    <w:p>
      <w:pPr>
        <w:jc w:val="start"/>
        <w:bidi/>
      </w:pPr>
      <w:r>
        <w:rPr>
          <w:sz w:val="24"/>
          <w:szCs w:val="24"/>
          <w:b w:val="1"/>
          <w:bCs w:val="1"/>
          <w:rtl/>
        </w:rPr>
        <w:t xml:space="preserve">
أعيان الشيعة،(دار التعارف للمطبوعات - بيروت،1983،ط 1،ج 3،ص 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2026-07-27T13:18:56+03:00</dcterms:created>
  <dcterms:modified xsi:type="dcterms:W3CDTF">2026-07-27T13:18:56+03:00</dcterms:modified>
</cp:coreProperties>
</file>

<file path=docProps/custom.xml><?xml version="1.0" encoding="utf-8"?>
<Properties xmlns="http://schemas.openxmlformats.org/officeDocument/2006/custom-properties" xmlns:vt="http://schemas.openxmlformats.org/officeDocument/2006/docPropsVTypes"/>
</file>