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أحمد بن حمدان الأندلسي، أبو علي، ابن غلبون
</w:t>
      </w:r>
    </w:p>
    <w:p>
      <w:pPr>
        <w:jc w:val="start"/>
        <w:bidi/>
      </w:pPr>
      <w:r>
        <w:rPr>
          <w:rFonts w:ascii="arial" w:hAnsi="arial" w:eastAsia="arial" w:cs="arial"/>
          <w:sz w:val="28"/>
          <w:szCs w:val="28"/>
          <w:b w:val="1"/>
          <w:bCs w:val="1"/>
          <w:rtl/>
        </w:rPr>
        <w:t xml:space="preserve">ابن غلبون
</w:t>
      </w:r>
    </w:p>
    <w:p>
      <w:pPr/>
      <w:r>
        <w:rPr/>
        <w:t xml:space="preserve">ابن غلبون  جعفر بن أحمد بن حمدان الأندلسي، أبو علي، ابن غلبون: امير الزاب (من أعمال إفريقية) كان جوادا، لابن هانئ فيه مدائح. يجمعهما مذهب الباطنية. ونشأت فتنة بينه وبين زيري بن مناد الصنهاجي، فقتل زيري، فقام ابنه بلكين بن زيري، فانقلب جعفر إلى الأندلس فقتل فيه. وهو باني (المسيلة) من بلاد المغرب، كما حققه الزبيدي</w:t>
      </w:r>
    </w:p>
    <w:p>
      <w:pPr>
        <w:jc w:val="start"/>
        <w:bidi/>
      </w:pPr>
      <w:r>
        <w:rPr>
          <w:sz w:val="24"/>
          <w:szCs w:val="24"/>
          <w:b w:val="1"/>
          <w:bCs w:val="1"/>
          <w:rtl/>
        </w:rPr>
        <w:t xml:space="preserve">
الأعلام،(دار العلم للملايين - بيروت،2002،ط 15،ج 2،ص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2026-07-23T13:49:01+03:00</dcterms:created>
  <dcterms:modified xsi:type="dcterms:W3CDTF">2026-07-23T13:49:01+03:00</dcterms:modified>
</cp:coreProperties>
</file>

<file path=docProps/custom.xml><?xml version="1.0" encoding="utf-8"?>
<Properties xmlns="http://schemas.openxmlformats.org/officeDocument/2006/custom-properties" xmlns:vt="http://schemas.openxmlformats.org/officeDocument/2006/docPropsVTypes"/>
</file>