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سالم بن سليم بن بايزيد بن محمد العثماني.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سالم بن سليم بن بايزيد بن محمد العثماني.
</w:t>
      </w:r>
    </w:p>
    <w:p>
      <w:pPr/>
      <w:r>
        <w:rPr/>
        <w:t xml:space="preserve">سالم بن سليم بن بايزيد بن محمد العثماني. </w:t>
      </w:r>
    </w:p>
    <w:p/>
    <w:p/>
    <w:p>
      <w:pPr/>
      <w:r>
        <w:rPr/>
        <w:t xml:space="preserve">أحد ملوك التركمان.</w:t>
      </w:r>
    </w:p>
    <w:p/>
    <w:p/>
    <w:p>
      <w:pPr/>
      <w:r>
        <w:rPr/>
        <w:t xml:space="preserve">توفي سنة 925 ووليها بعده ولده سليمان. وقبل وفاته بسنتين استولى على الشام ومصر، وانقطعت منها دولة الشراكة، واستولى على تلمسان والملك لله وحده.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2026-07-25T04:02:14+03:00</dcterms:created>
  <dcterms:modified xsi:type="dcterms:W3CDTF">2026-07-25T04:02:14+03:00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