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جحاف بن يمن
</w:t>
      </w:r>
    </w:p>
    <w:p>
      <w:pPr>
        <w:jc w:val="start"/>
        <w:bidi/>
      </w:pPr>
      <w:r>
        <w:rPr>
          <w:rFonts w:ascii="arial" w:hAnsi="arial" w:eastAsia="arial" w:cs="arial"/>
          <w:sz w:val="28"/>
          <w:szCs w:val="28"/>
          <w:b w:val="1"/>
          <w:bCs w:val="1"/>
          <w:rtl/>
        </w:rPr>
        <w:t xml:space="preserve">جحاف بن يمن
</w:t>
      </w:r>
    </w:p>
    <w:p>
      <w:pPr/>
      <w:r>
        <w:rPr/>
        <w:t xml:space="preserve">جحاف بن يمن  جحاف بن يمن: قاضي بلنسية. ولاه الناصر عبد الرحمن بن محمد، القضاء بها. واستشهد بالأندلس في غزو الروم (غزوة الخندق) وخلف في بلنسية عقبا تداولوا القضاء من بعده. وهو من رجال الحديث</w:t>
      </w:r>
    </w:p>
    <w:p>
      <w:pPr>
        <w:jc w:val="start"/>
        <w:bidi/>
      </w:pPr>
      <w:r>
        <w:rPr>
          <w:sz w:val="24"/>
          <w:szCs w:val="24"/>
          <w:b w:val="1"/>
          <w:bCs w:val="1"/>
          <w:rtl/>
        </w:rPr>
        <w:t xml:space="preserve">
الأعلام،(دار العلم للملايين - بيروت،2002،ط 15،ج 2،ص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جحاف بن يمن
</w:t>
      </w:r>
    </w:p>
    <w:p>
      <w:pPr/>
      <w:r>
        <w:rPr/>
        <w:t xml:space="preserve">جحاف بن يمن من أهل بلنسية. كان: حسن التصرف وجيها؛ ولاه أمير المؤمنين عبدالرحمن بن محمد الناصر رحمه الله أحكام القضاء بموضعه؛ فلم يزل قاضيا إلى أن استشهد في غزاة الخندق (رحمه الله) سنة سبع وعشرين وثلاث مائة. ذكره: ابن حارث.</w:t>
      </w:r>
    </w:p>
    <w:p/>
    <w:p/>
    <w:p>
      <w:pPr>
        <w:jc w:val="start"/>
        <w:bidi/>
      </w:pPr>
      <w:r>
        <w:rPr>
          <w:sz w:val="24"/>
          <w:szCs w:val="24"/>
          <w:b w:val="1"/>
          <w:bCs w:val="1"/>
          <w:rtl/>
        </w:rPr>
        <w:t xml:space="preserve">
تاريخ علماء الأندلس،( مكتبة الخانجي - القاهرة،1988،ط 2،ج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جحاف بن يمن
</w:t>
      </w:r>
    </w:p>
    <w:p>
      <w:pPr/>
      <w:r>
        <w:rPr/>
        <w:t xml:space="preserve">جحاف بن يمن: كبير بلنسية ذو البيت النبيه فيه من العلم والجلالة إلى وقتنا هذا يكنى أبا جعفر مذكور بالفقه موصوف بالعلم ولي قضاء بلده وعليه كان مدار فتواه أثنى عليه أبو حارث</w:t>
      </w:r>
    </w:p>
    <w:p/>
    <w:p>
      <w:pPr/>
      <w:r>
        <w:rPr/>
        <w:t xml:space="preserve">واستشهد رحمه الله في غزوة الخندق وهو على قضائه سنة سبع وعشرين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جحاف بن يمن
</w:t>
      </w:r>
    </w:p>
    <w:p>
      <w:pPr/>
      <w:r>
        <w:rPr/>
        <w:t xml:space="preserve">جحاف بن يمن </w:t>
      </w:r>
    </w:p>
    <w:p/>
    <w:p>
      <w:pPr/>
      <w:r>
        <w:rPr/>
        <w:t xml:space="preserve">قاضي بلنسية، ولاه أمير المؤمنين الناصر لدين الله عبد الرحمن بن محمد القضاء بها محدث، استشهد بالأندلس في غزو الروم في غزوة الخندق سنة سبع وعشرين وثلاثمائة هنالك، وله هناك عقب يتداولون القضاء، ومنهم من رأس بها وغلب عليها إلى أن كان آخرهم القاضي أبو أحمد جعفر بن عبد الله بن جعفر بن جحاف بن يمن المتقدم الذكر الذي أحرقه القنبيطور لعنه الله حسبما قدمنا ذكره.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2026-07-26T00:09:14+03:00</dcterms:created>
  <dcterms:modified xsi:type="dcterms:W3CDTF">2026-07-26T00:09:14+03:00</dcterms:modified>
</cp:coreProperties>
</file>

<file path=docProps/custom.xml><?xml version="1.0" encoding="utf-8"?>
<Properties xmlns="http://schemas.openxmlformats.org/officeDocument/2006/custom-properties" xmlns:vt="http://schemas.openxmlformats.org/officeDocument/2006/docPropsVTypes"/>
</file>