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أحمد بن محمد بن هانئ الأثرم البغدادي الإسكافي الفقيه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أحمد بن محمد بن هانئ الأثرم البغدادي الإسكافي الفقيه الحافظ
</w:t>
      </w:r>
    </w:p>
    <w:p>
      <w:pPr/>
      <w:r>
        <w:rPr/>
        <w:t xml:space="preserve">أبو بكر أحمد بن محمد بن هانئ الأثرم البغدادي الإسكافي الفقيه الحافظ </w:t>
      </w:r>
    </w:p>
    <w:p/>
    <w:p>
      <w:pPr/>
      <w:r>
        <w:rPr/>
        <w:t xml:space="preserve">صاحب ابن حنبل خراساني الأصل</w:t>
      </w:r>
    </w:p>
    <w:p/>
    <w:p>
      <w:pPr/>
      <w:r>
        <w:rPr/>
        <w:t xml:space="preserve">روى عن القعنبي وعفان وابن أبي شيبة</w:t>
      </w:r>
    </w:p>
    <w:p/>
    <w:p>
      <w:pPr/>
      <w:r>
        <w:rPr/>
        <w:t xml:space="preserve">وعنه النسائي وابن صاعد</w:t>
      </w:r>
    </w:p>
    <w:p/>
    <w:p>
      <w:pPr/>
      <w:r>
        <w:rPr/>
        <w:t xml:space="preserve">قال إبراهيم الأصبهاني كان أحفظ من أبي زرعة الرازي وأتقن</w:t>
      </w:r>
    </w:p>
    <w:p/>
    <w:p>
      <w:pPr/>
      <w:r>
        <w:rPr/>
        <w:t xml:space="preserve">وقال الخلال كان يعرف الحديث ويحفظه ويعلم الأبواب والمسند</w:t>
      </w:r>
    </w:p>
    <w:p/>
    <w:p>
      <w:pPr/>
      <w:r>
        <w:rPr/>
        <w:t xml:space="preserve">وقال غيره له كتاب في العلل ذكره ابن حبان في الثقات وقال كان من خيار عباد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2026-06-02T20:26:27+03:00</dcterms:created>
  <dcterms:modified xsi:type="dcterms:W3CDTF">2026-06-02T20:26:27+03:00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