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محمد بن سيد أبيه بن مسعود الأموي البلدي
</w:t>
      </w:r>
    </w:p>
    <w:p>
      <w:pPr>
        <w:jc w:val="start"/>
        <w:bidi/>
      </w:pPr>
      <w:r>
        <w:rPr>
          <w:rFonts w:ascii="arial" w:hAnsi="arial" w:eastAsia="arial" w:cs="arial"/>
          <w:sz w:val="28"/>
          <w:szCs w:val="28"/>
          <w:b w:val="1"/>
          <w:bCs w:val="1"/>
          <w:rtl/>
        </w:rPr>
        <w:t xml:space="preserve">سعيد بن محمد بن سيد أبيه بن يعقوب، أبو عثمان البلدي، الأموي.
</w:t>
      </w:r>
    </w:p>
    <w:p>
      <w:pPr/>
      <w:r>
        <w:rPr/>
        <w:t xml:space="preserve">سعيد بن محمد بن سيد أبيه بن يعقوب، أبو عثمان البلدي، الأموي. </w:t>
      </w:r>
    </w:p>
    <w:p/>
    <w:p>
      <w:pPr/>
      <w:r>
        <w:rPr/>
        <w:t xml:space="preserve">روى عن الآجري، وابن رشيق.</w:t>
      </w:r>
    </w:p>
    <w:p/>
    <w:p>
      <w:pPr/>
      <w:r>
        <w:rPr/>
        <w:t xml:space="preserve">قال الخولاني: أجاز لي جميع رواياته، وكان رجلاً صالحاً، متبتلاً، متقشفاً، كثير الرباط والجهاد،.</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محمد بن سيد أبيه بن مسعود الأموي البلدي
</w:t>
      </w:r>
    </w:p>
    <w:p>
      <w:pPr/>
      <w:r>
        <w:rPr/>
        <w:t xml:space="preserve">سعيد بن محمد بن سيد أبيه بن مسعود الأموي البلدي </w:t>
      </w:r>
    </w:p>
    <w:p/>
    <w:p>
      <w:pPr/>
      <w:r>
        <w:rPr/>
        <w:t xml:space="preserve">من أهل بلدة، من عمل ريّة يكنى أبا عثمان. رحل إلى المشرق سنة خمسين وثلاثمائة، وحجّ سنة إحدى وخمسين. ولقي أبا بكر الآجري وقرأ عليه جملة من تواليفه، وأبا الحسن محمد بن نافع الخزاعي وقرأ عليه فضائل الكعبة من تأليفه.</w:t>
      </w:r>
    </w:p>
    <w:p/>
    <w:p>
      <w:pPr/>
      <w:r>
        <w:rPr/>
        <w:t xml:space="preserve">وأقام بمكة نحو العام وسمع بمصر من أبي بكر ابن أبي طيبة، والحسن بن</w:t>
      </w:r>
    </w:p>
    <w:p/>
    <w:p>
      <w:pPr/>
      <w:r>
        <w:rPr/>
        <w:t xml:space="preserve">رشيق ومحمد بن القاسم بن شعبان وحمزة بن محمد وغيرهم. وقال سكنت مصر نحوا من سبعة أعوام. ولقي بالقيروان علي بن مسرور، وأبا العباس بن تميم بن محمد وغيرهما. وكان رجلا صالحا متبتّلا متقشّفا يلبس الصّوف. وكان كثير الرباط والجهاد في الثغور. ومولده سنة ثمان وعشرين وثلاثمائة. ذكره ابن بشكوال.</w:t>
      </w:r>
    </w:p>
    <w:p/>
    <w:p>
      <w:pPr/>
      <w:r>
        <w:rPr/>
        <w:t xml:space="preserve">حرف الشين</w:t>
      </w:r>
    </w:p>
    <w:p>
      <w:pPr>
        <w:jc w:val="start"/>
        <w:bidi/>
      </w:pPr>
      <w:r>
        <w:rPr>
          <w:sz w:val="24"/>
          <w:szCs w:val="24"/>
          <w:b w:val="1"/>
          <w:bCs w:val="1"/>
          <w:rtl/>
        </w:rPr>
        <w:t xml:space="preserve">
أعلام مالقة،(دار الغرب الإسلامي، بيروت - لبنان، دار الأمان للنشر والتوزيع، الرباط - المغرب،1999،ط 1،ج 1،ص 351)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2026-07-25T12:26:40+03:00</dcterms:created>
  <dcterms:modified xsi:type="dcterms:W3CDTF">2026-07-25T12:26:40+03:00</dcterms:modified>
</cp:coreProperties>
</file>

<file path=docProps/custom.xml><?xml version="1.0" encoding="utf-8"?>
<Properties xmlns="http://schemas.openxmlformats.org/officeDocument/2006/custom-properties" xmlns:vt="http://schemas.openxmlformats.org/officeDocument/2006/docPropsVTypes"/>
</file>