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الدهان
</w:t>
      </w:r>
    </w:p>
    <w:p>
      <w:pPr>
        <w:jc w:val="start"/>
        <w:bidi/>
      </w:pPr>
      <w:r>
        <w:rPr>
          <w:rFonts w:ascii="arial" w:hAnsi="arial" w:eastAsia="arial" w:cs="arial"/>
          <w:sz w:val="28"/>
          <w:szCs w:val="28"/>
          <w:b w:val="1"/>
          <w:bCs w:val="1"/>
          <w:rtl/>
        </w:rPr>
        <w:t xml:space="preserve">أبو محمد الدهان
</w:t>
      </w:r>
    </w:p>
    <w:p>
      <w:pPr/>
      <w:r>
        <w:rPr/>
        <w:t xml:space="preserve">أبو محمد الدهان </w:t>
      </w:r>
    </w:p>
    <w:p/>
    <w:p>
      <w:pPr/>
      <w:r>
        <w:rPr/>
        <w:t xml:space="preserve">وأما أبو محمد الدهان اللغوي، فإنه كان من أفاضل أهل اللغة، وأخذ عن علي بن يحيى بن عيسى الرماني، وأخذ عنه أبو زكرياء يحيى بن علي الخطيب التبريزي.</w:t>
      </w:r>
    </w:p>
    <w:p/>
    <w:p>
      <w:pPr/>
      <w:r>
        <w:rPr/>
        <w:t xml:space="preserve">قرأت على الشيخ أبي منصور موهوب بن أحمد بن محمد بن الخضر الجواليقي اللغوي، عن الشيخ أبي زكرياء يحيى بن علي الخطيب التبريزي، عن أبي محمد اللغوي الدهان، لزهير بن أبي سلمى:</w:t>
      </w:r>
    </w:p>
    <w:p/>
    <w:p>
      <w:pPr>
        <w:jc w:val="center"/>
      </w:pPr>
      <w:r>
        <w:rPr>
          <w:color w:val="ff0000"/>
        </w:rPr>
        <w:t xml:space="preserve">لا تكثر على ذي الضغن عتبا</w:t>
      </w:r>
      <w:r>
        <w:rPr>
          <w:color w:val="ff0000"/>
        </w:rPr>
        <w:t xml:space="preserve">      </w:t>
      </w:r>
      <w:r>
        <w:rPr>
          <w:color w:val="ff0000"/>
        </w:rPr>
        <w:t xml:space="preserve">ولا ذكر التجرم للذنوب</w:t>
      </w:r>
    </w:p>
    <w:p/>
    <w:p>
      <w:pPr>
        <w:jc w:val="center"/>
      </w:pPr>
      <w:r>
        <w:rPr>
          <w:color w:val="ff0000"/>
        </w:rPr>
        <w:t xml:space="preserve">ولا تسأله عما سوف يبدي</w:t>
      </w:r>
      <w:r>
        <w:rPr>
          <w:color w:val="ff0000"/>
        </w:rPr>
        <w:t xml:space="preserve">      </w:t>
      </w:r>
      <w:r>
        <w:rPr>
          <w:color w:val="ff0000"/>
        </w:rPr>
        <w:t xml:space="preserve">ولا عن عيبه لك المغيب</w:t>
      </w:r>
    </w:p>
    <w:p/>
    <w:p>
      <w:pPr>
        <w:jc w:val="center"/>
      </w:pPr>
      <w:r>
        <w:rPr>
          <w:color w:val="ff0000"/>
        </w:rPr>
        <w:t xml:space="preserve">متى تلك في صديق أو عدو</w:t>
      </w:r>
      <w:r>
        <w:rPr>
          <w:color w:val="ff0000"/>
        </w:rPr>
        <w:t xml:space="preserve">      </w:t>
      </w:r>
      <w:r>
        <w:rPr>
          <w:color w:val="ff0000"/>
        </w:rPr>
        <w:t xml:space="preserve">تخبرك العيون عن القلوب</w:t>
      </w:r>
    </w:p>
    <w:p/>
    <w:p>
      <w:pPr>
        <w:jc w:val="start"/>
        <w:bidi/>
      </w:pPr>
      <w:r>
        <w:rPr>
          <w:sz w:val="24"/>
          <w:szCs w:val="24"/>
          <w:b w:val="1"/>
          <w:bCs w:val="1"/>
          <w:rtl/>
        </w:rPr>
        <w:t xml:space="preserve">
نزهة الألباء في طبقات الأدباء،(مكتبة المنار، الزرقاء - الأردن،1985،ط 3،ج 1،ص 263)/(دار الفكر العربي،1998،ط 1،ج 1،ص 313)/(مطبعة المعارف - بغداد،1959،ط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2026-05-19T14:45:36+03:00</dcterms:created>
  <dcterms:modified xsi:type="dcterms:W3CDTF">2026-05-19T14:45:36+03:00</dcterms:modified>
</cp:coreProperties>
</file>

<file path=docProps/custom.xml><?xml version="1.0" encoding="utf-8"?>
<Properties xmlns="http://schemas.openxmlformats.org/officeDocument/2006/custom-properties" xmlns:vt="http://schemas.openxmlformats.org/officeDocument/2006/docPropsVTypes"/>
</file>