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أحمد بن علي
</w:t>
      </w:r>
    </w:p>
    <w:p>
      <w:pPr>
        <w:jc w:val="start"/>
        <w:bidi/>
      </w:pPr>
      <w:r>
        <w:rPr>
          <w:rFonts w:ascii="arial" w:hAnsi="arial" w:eastAsia="arial" w:cs="arial"/>
          <w:sz w:val="28"/>
          <w:szCs w:val="28"/>
          <w:b w:val="1"/>
          <w:bCs w:val="1"/>
          <w:rtl/>
        </w:rPr>
        <w:t xml:space="preserve">أبو العباس أحمد بن علي
</w:t>
      </w:r>
    </w:p>
    <w:p>
      <w:pPr/>
      <w:r>
        <w:rPr/>
        <w:t xml:space="preserve">أبو العباس أحمد بن علي ابن معقل الأزدي المهلبي الحمصي العز الأديب </w:t>
      </w:r>
    </w:p>
    <w:p/>
    <w:p>
      <w:pPr/>
      <w:r>
        <w:rPr/>
        <w:t xml:space="preserve">ولد سنة 567 ومات في (25) ربيع الأول سنة 644. </w:t>
      </w:r>
    </w:p>
    <w:p/>
    <w:p>
      <w:pPr/>
      <w:r>
        <w:rPr/>
        <w:t xml:space="preserve">ذكره السيوطي في بغية الوعاة في طبقات اللغويين والنحاة فقال: قال الذهبي رحل إلى العراق وأخذ الرفض عن جماعة بالحلة والنحو ببغداد عن أبي البقاء العكبري والوجيه الواسطي وبدمشق من أبي اليمن الكندي وبرع في العربية والعروض وصنف فيهما وقال الشعر الرائق ونظم الإيضاح والتكملة للفارسي فأجاد واتصل بالملك الأمجد فحظى عنده وعاش به رافضة تلك الناحية وكان وافر العقل غاليا في التشيع دينا متزهداولم أجد هذا في ميزان الذهبي ولا في تذكرة الحفاظ ولعله من تاريخ الإسلام وفي مجالس المؤمنين عن صاحب طبقات النحاة أنه قال: أديب فاضل ثم نقل ما مر عن الذهبي. وفي شذرات الذهب: العلامة اللغوي الذي نظم الإيضاح والتكملة وأخذ عن الكندي وأبي البقاء وبرع في لسان العرب. وكان صدرا محترما غاليا في التشيع ومن شعره: </w:t>
      </w:r>
    </w:p>
    <w:p/>
    <w:p>
      <w:pPr>
        <w:jc w:val="center"/>
      </w:pPr>
      <w:r>
        <w:rPr>
          <w:color w:val="ff0000"/>
        </w:rPr>
        <w:t xml:space="preserve">أما والعيون النجل حلفة صادق</w:t>
      </w:r>
      <w:r>
        <w:rPr>
          <w:color w:val="ff0000"/>
        </w:rPr>
        <w:t xml:space="preserve">      </w:t>
      </w:r>
      <w:r>
        <w:rPr>
          <w:color w:val="ff0000"/>
        </w:rPr>
        <w:t xml:space="preserve">لقد نبض التفريق نبض المفارق </w:t>
      </w:r>
    </w:p>
    <w:p/>
    <w:p>
      <w:pPr>
        <w:jc w:val="start"/>
        <w:bidi/>
      </w:pPr>
      <w:r>
        <w:rPr>
          <w:sz w:val="24"/>
          <w:szCs w:val="24"/>
          <w:b w:val="1"/>
          <w:bCs w:val="1"/>
          <w:rtl/>
        </w:rPr>
        <w:t xml:space="preserve">
أعيان الشيعة،(دار التعارف للمطبوعات - بيروت،1983،ط 1،ج 3،ص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2026-06-13T04:58:45+03:00</dcterms:created>
  <dcterms:modified xsi:type="dcterms:W3CDTF">2026-06-13T04:58:45+03:00</dcterms:modified>
</cp:coreProperties>
</file>

<file path=docProps/custom.xml><?xml version="1.0" encoding="utf-8"?>
<Properties xmlns="http://schemas.openxmlformats.org/officeDocument/2006/custom-properties" xmlns:vt="http://schemas.openxmlformats.org/officeDocument/2006/docPropsVTypes"/>
</file>