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تأبط شرا
</w:t>
      </w:r>
    </w:p>
    <w:p>
      <w:pPr>
        <w:jc w:val="start"/>
        <w:bidi/>
      </w:pPr>
      <w:r>
        <w:rPr>
          <w:rFonts w:ascii="arial" w:hAnsi="arial" w:eastAsia="arial" w:cs="arial"/>
          <w:sz w:val="28"/>
          <w:szCs w:val="28"/>
          <w:b w:val="1"/>
          <w:bCs w:val="1"/>
          <w:rtl/>
        </w:rPr>
        <w:t xml:space="preserve">تأبط شرا
</w:t>
      </w:r>
    </w:p>
    <w:p>
      <w:pPr/>
      <w:r>
        <w:rPr/>
        <w:t xml:space="preserve">تأبط شرا  ثابت بن سفيان، أبو زهير، الفهمي، من مضر: شاعر عداء، من فتاك العرب في الجاهلية. كان من أهل تهامة. شعره فحل، استفتح الضبي مفضلياته بقصيدة له، مطلعها:</w:t>
      </w:r>
    </w:p>
    <w:p/>
    <w:p>
      <w:pPr/>
      <w:r>
        <w:rPr/>
        <w:t xml:space="preserve">#يا عيد ما لك من شوق وإيراقويقال إنه كان ينظر إلى الظبي في الفلاة فيجري خلفه فلا يفوته. قتل في بلاد هذيل وألقي في غار يقال له (رخمان) فوجدت جثته فيه بعد مقتله. وللجلودي كتاب (أخبار تأبط شرا)</w:t>
      </w:r>
    </w:p>
    <w:p>
      <w:pPr>
        <w:jc w:val="start"/>
        <w:bidi/>
      </w:pPr>
      <w:r>
        <w:rPr>
          <w:sz w:val="24"/>
          <w:szCs w:val="24"/>
          <w:b w:val="1"/>
          <w:bCs w:val="1"/>
          <w:rtl/>
        </w:rPr>
        <w:t xml:space="preserve">
الأعلام،(دار العلم للملايين - بيروت،2002،ط 15،ج 2،ص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2026-07-22T23:46:12+03:00</dcterms:created>
  <dcterms:modified xsi:type="dcterms:W3CDTF">2026-07-22T23:46:12+03:00</dcterms:modified>
</cp:coreProperties>
</file>

<file path=docProps/custom.xml><?xml version="1.0" encoding="utf-8"?>
<Properties xmlns="http://schemas.openxmlformats.org/officeDocument/2006/custom-properties" xmlns:vt="http://schemas.openxmlformats.org/officeDocument/2006/docPropsVTypes"/>
</file>