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عمرو بن سعيد الجرشي، من أهل البصرة.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عمرو بن سعيد الجرشي، من أهل البصرة.
</w:t>
      </w:r>
    </w:p>
    <w:p>
      <w:pPr/>
      <w:r>
        <w:rPr/>
        <w:t xml:space="preserve">أحمد بن عمرو بن سعيد الجرشي، من أهل البصرة. </w:t>
      </w:r>
    </w:p>
    <w:p/>
    <w:p>
      <w:pPr/>
      <w:r>
        <w:rPr/>
        <w:t xml:space="preserve">يروي عن إسماعيل بن علية والبصريين. روى عنه محمد بن يحيى الذهلي.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عمرو بن سعيد الجرشي
</w:t>
      </w:r>
    </w:p>
    <w:p>
      <w:pPr/>
      <w:r>
        <w:rPr/>
        <w:t xml:space="preserve">أحمد بن عمرو بن سعيد الجرشي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إسماعيل بن علية والبصريين روى عنه محمد بن يحيى الذهلي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2026-07-27T11:33:35+03:00</dcterms:created>
  <dcterms:modified xsi:type="dcterms:W3CDTF">2026-07-27T11:33:35+03:00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