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ميناء، مولى صيفي بن 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ميناء، مولى صيفي بن عبد عمرو 
</w:t>
      </w:r>
    </w:p>
    <w:p>
      <w:pPr/>
      <w:r>
        <w:rPr/>
        <w:t xml:space="preserve">ميناء، مولى صيفي بن عبد عمرو. </w:t>
      </w:r>
    </w:p>
    <w:p/>
    <w:p>
      <w:pPr/>
      <w:r>
        <w:rPr/>
        <w:t xml:space="preserve">قال: دعاني عمر بن الخطاب.</w:t>
      </w:r>
    </w:p>
    <w:p/>
    <w:p>
      <w:pPr/>
      <w:r>
        <w:rPr/>
        <w:t xml:space="preserve">روى عنه محمد بن إبراهيم بن الحارث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2026-07-27T11:15:57+03:00</dcterms:created>
  <dcterms:modified xsi:type="dcterms:W3CDTF">2026-07-27T11:15:57+03:00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