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الأحدب
</w:t>
      </w:r>
    </w:p>
    <w:p>
      <w:pPr>
        <w:jc w:val="start"/>
        <w:bidi/>
      </w:pPr>
      <w:r>
        <w:rPr>
          <w:rFonts w:ascii="arial" w:hAnsi="arial" w:eastAsia="arial" w:cs="arial"/>
          <w:sz w:val="28"/>
          <w:szCs w:val="28"/>
          <w:b w:val="1"/>
          <w:bCs w:val="1"/>
          <w:rtl/>
        </w:rPr>
        <w:t xml:space="preserve">الأحدب
</w:t>
      </w:r>
    </w:p>
    <w:p>
      <w:pPr/>
      <w:r>
        <w:rPr/>
        <w:t xml:space="preserve">الأحدب  إبراهيم بن علي الأحدب الطرابلسي: شاعر أديب. ولد في طرابلس الشام، ونصب مستشارا في الامور الشرعية لحاكم مقاطعة الشوفين (في لبنان) سنة 1267هـ. ولما نشبت فتنة النصارى والدروز في لبنان سنة 1276 عاد إلى طرابلس. وطلب إلى بيروت سنة 1277 فجعل نائبا في المحكمة الشرعية ثم كاتبا أول فيها، وتولى تحرير جريدة (ثمرات الفنون) ثم انتخب عضوا في مجلس المعارف ببيروت، وتقلد كثيرا من الرتب السلطانية. كان سريع الخاطر ينظم القصيدة في جلسة واحدة. من تآليفه (فرائد اللآل في مجمع الأمثال - ط) و (كشف الإرب عن سر الأدب - ط) و (تأهيل الغريب - ط) و (فرائد الأطواق - ط) مقامات في الاخلاق، و (تسعون مقامة - خ) على نسق مقامات الحريري، و (كشف المعاني والبيان عن رسائل بديع الزمان - ط) وله نحو عشرين (رواية) وثلاثة دواوين شعرية أحدها (النفح المسكي - ط) ويقدر ما نظمه بثمانين ألف بيت. مات في بيروت.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2026-07-01T14:30:44+03:00</dcterms:created>
  <dcterms:modified xsi:type="dcterms:W3CDTF">2026-07-01T14:30:44+03:00</dcterms:modified>
</cp:coreProperties>
</file>

<file path=docProps/custom.xml><?xml version="1.0" encoding="utf-8"?>
<Properties xmlns="http://schemas.openxmlformats.org/officeDocument/2006/custom-properties" xmlns:vt="http://schemas.openxmlformats.org/officeDocument/2006/docPropsVTypes"/>
</file>