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الطرناني أو الطبرناني
</w:t>
      </w:r>
    </w:p>
    <w:p>
      <w:pPr>
        <w:jc w:val="start"/>
        <w:bidi/>
      </w:pPr>
      <w:r>
        <w:rPr>
          <w:rFonts w:ascii="arial" w:hAnsi="arial" w:eastAsia="arial" w:cs="arial"/>
          <w:sz w:val="28"/>
          <w:szCs w:val="28"/>
          <w:b w:val="1"/>
          <w:bCs w:val="1"/>
          <w:rtl/>
        </w:rPr>
        <w:t xml:space="preserve">أبو العباس الطرناني أو الطبرناني
</w:t>
      </w:r>
    </w:p>
    <w:p>
      <w:pPr/>
      <w:r>
        <w:rPr/>
        <w:t xml:space="preserve">أبو العباس الطرناني أو الطبرناني في رجال الكشي مرسوم بالطاء المهملة والراء والنون قبل الألف وبعدها وفي الخلاصة أنه بالطاء المهملة والباء الموحدة والراء والنون قبل الألف.</w:t>
      </w:r>
    </w:p>
    <w:p/>
    <w:p>
      <w:pPr/>
      <w:r>
        <w:rPr/>
        <w:t xml:space="preserve">روى الكشي عن نصر بن الصباح أنه قال كان من الغلاة الكبار الملعونين في وقت علي بن محمد العسكري عليهما السلاك ’’اه’’ قال الفصل بن شاذان في بعض كتبه إنه من الكذابين المشهورين فهو ليس من شرط كتابنا وذكرناه لذكره في كتب الرجال حتى لا يفوتنا سيء مما فيها.</w:t>
      </w:r>
    </w:p>
    <w:p>
      <w:pPr>
        <w:jc w:val="start"/>
        <w:bidi/>
      </w:pPr>
      <w:r>
        <w:rPr>
          <w:sz w:val="24"/>
          <w:szCs w:val="24"/>
          <w:b w:val="1"/>
          <w:bCs w:val="1"/>
          <w:rtl/>
        </w:rPr>
        <w:t xml:space="preserve">
أعيان الشيعة،(دار التعارف للمطبوعات - بيروت،1983،ط 1،ج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2026-06-13T20:49:39+03:00</dcterms:created>
  <dcterms:modified xsi:type="dcterms:W3CDTF">2026-06-13T20:49:39+03:00</dcterms:modified>
</cp:coreProperties>
</file>

<file path=docProps/custom.xml><?xml version="1.0" encoding="utf-8"?>
<Properties xmlns="http://schemas.openxmlformats.org/officeDocument/2006/custom-properties" xmlns:vt="http://schemas.openxmlformats.org/officeDocument/2006/docPropsVTypes"/>
</file>