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ابن الأمير محمد
</w:t>
      </w:r>
    </w:p>
    <w:p>
      <w:pPr>
        <w:jc w:val="start"/>
        <w:bidi/>
      </w:pPr>
      <w:r>
        <w:rPr>
          <w:rFonts w:ascii="arial" w:hAnsi="arial" w:eastAsia="arial" w:cs="arial"/>
          <w:sz w:val="28"/>
          <w:szCs w:val="28"/>
          <w:b w:val="1"/>
          <w:bCs w:val="1"/>
          <w:rtl/>
        </w:rPr>
        <w:t xml:space="preserve">الميرزا أبو طالب ابن الأمير محمد
</w:t>
      </w:r>
    </w:p>
    <w:p>
      <w:pPr/>
      <w:r>
        <w:rPr/>
        <w:t xml:space="preserve">الميرزا أبو طالب ابن الأمير محمد ابن المير غياث الدين عزيز ابن الميرزا شمس الدين محمد الحسيني الرضوي المشهدي.</w:t>
      </w:r>
    </w:p>
    <w:p/>
    <w:p>
      <w:pPr/>
      <w:r>
        <w:rPr/>
        <w:t xml:space="preserve">هو الجد الأعلى للسادات الرضوية وواقف الأملاك الموقوفة الرضوية وولده أبو القاسم بن أبي طالب له شأن ومقام في مجلس الشاه طهماسب ومن السادات ذوي القدر العالي في المشهد المقدس وقال إسكندر بيك منشيء الشاه عباس في تاريخ عالم آرا: من السادات العظام الرضوية والموسوية جماعة في المشهد المقدس لهم خدمة رفيعة في الروضة المطهرة فمن هذه الطبقة الميرزا أبو طالب الرضوي وولده الميرزا أبو القاسم بغاية الجلالة وعلو الشأن وكثرة المال والمنال والضياع متفرد وممتاز وأجلة سادات خراسان خصوصا المشهد المقدس معترفون بعلو شأنه ورفعة مقامه وشأن ابنه المذكور وسائر السادات الرضوية وأقربائه وأرحامه ينتفعون به وبابنه.</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2026-06-13T17:27:00+03:00</dcterms:created>
  <dcterms:modified xsi:type="dcterms:W3CDTF">2026-06-13T17:27:00+03:00</dcterms:modified>
</cp:coreProperties>
</file>

<file path=docProps/custom.xml><?xml version="1.0" encoding="utf-8"?>
<Properties xmlns="http://schemas.openxmlformats.org/officeDocument/2006/custom-properties" xmlns:vt="http://schemas.openxmlformats.org/officeDocument/2006/docPropsVTypes"/>
</file>