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بكار بن عبد الرحمن، البكراوي،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عبد الرحمن، البكراوي، البصري 
</w:t>
      </w:r>
    </w:p>
    <w:p>
      <w:pPr/>
      <w:r>
        <w:rPr/>
        <w:t xml:space="preserve">بكار بن عبد الرحمن، البكراوي، البصري. </w:t>
      </w:r>
    </w:p>
    <w:p/>
    <w:p>
      <w:pPr/>
      <w:r>
        <w:rPr/>
        <w:t xml:space="preserve">سمع الحسن؛ إذا قطع رأس الذبيحة، أو نسي أن يسمي، فإنه يأكل.</w:t>
      </w:r>
    </w:p>
    <w:p/>
    <w:p>
      <w:pPr/>
      <w:r>
        <w:rPr/>
        <w:t xml:space="preserve">روى عنه موسى بن إسماعيل، وحدثنا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عبد الرحمن بن أبي بكرة البكراوي، من أهل البصرة.
</w:t>
      </w:r>
    </w:p>
    <w:p>
      <w:pPr/>
      <w:r>
        <w:rPr/>
        <w:t xml:space="preserve">بكار بن عبد الرحمن بن أبي بكرة البكراوي، من أهل البصرة. </w:t>
      </w:r>
    </w:p>
    <w:p/>
    <w:p>
      <w:pPr/>
      <w:r>
        <w:rPr/>
        <w:t xml:space="preserve">عن الحسن. روى عنه موسى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عبد الرحمن بن أبي بكرة البكراوي
</w:t>
      </w:r>
    </w:p>
    <w:p>
      <w:pPr/>
      <w:r>
        <w:rPr/>
        <w:t xml:space="preserve">بكار بن عبد الرحمن بن أبي بكرة البكراوي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الحسن روى عنه موسى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عبد الرحمن الثقفي البكراوي البصري
</w:t>
      </w:r>
    </w:p>
    <w:p>
      <w:pPr/>
      <w:r>
        <w:rPr/>
        <w:t xml:space="preserve">بكار بن عبد الرحمن الثقفي البكراوي البصري </w:t>
      </w:r>
    </w:p>
    <w:p/>
    <w:p>
      <w:pPr/>
      <w:r>
        <w:rPr/>
        <w:t xml:space="preserve">روى عن الحسن روى عنه موسى بن إسماعيل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2026-07-27T11:31:42+03:00</dcterms:created>
  <dcterms:modified xsi:type="dcterms:W3CDTF">2026-07-27T11:31:42+03:00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