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ابن السيد تراب القايني
</w:t>
      </w:r>
    </w:p>
    <w:p>
      <w:pPr>
        <w:jc w:val="start"/>
        <w:bidi/>
      </w:pPr>
      <w:r>
        <w:rPr>
          <w:rFonts w:ascii="arial" w:hAnsi="arial" w:eastAsia="arial" w:cs="arial"/>
          <w:sz w:val="28"/>
          <w:szCs w:val="28"/>
          <w:b w:val="1"/>
          <w:bCs w:val="1"/>
          <w:rtl/>
        </w:rPr>
        <w:t xml:space="preserve">السيد أبو طالب ابن السيد تراب القايني
</w:t>
      </w:r>
    </w:p>
    <w:p>
      <w:pPr/>
      <w:r>
        <w:rPr/>
        <w:t xml:space="preserve">السيد أبو طالب ابن السيد تراب القايني توفي متوجها إلى الحج في بلدة كراجي سنة 1295.</w:t>
      </w:r>
    </w:p>
    <w:p/>
    <w:p>
      <w:pPr/>
      <w:r>
        <w:rPr/>
        <w:t xml:space="preserve">عالم فاضل له (1) مناسك الحج. (2) أجوبة المسائل نظير جامع الشتات لصاحب القوانين. (3) الفوائد الغروية في جزءين أولهما في مسائل علم دراية الحديث والثاني في أحوال جملة من الرجال المختلف فيها بين الرجاليين وقد شرحه تلميذ المصنف الشيخ محمد باقر القايني البير جندي وسمى الشرح بالعوائد القروية في شرح الفوائد الغروية.</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2026-06-06T02:34:46+03:00</dcterms:created>
  <dcterms:modified xsi:type="dcterms:W3CDTF">2026-06-06T02:34:46+03:00</dcterms:modified>
</cp:coreProperties>
</file>

<file path=docProps/custom.xml><?xml version="1.0" encoding="utf-8"?>
<Properties xmlns="http://schemas.openxmlformats.org/officeDocument/2006/custom-properties" xmlns:vt="http://schemas.openxmlformats.org/officeDocument/2006/docPropsVTypes"/>
</file>