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الحكم
</w:t>
      </w:r>
    </w:p>
    <w:p>
      <w:pPr>
        <w:jc w:val="start"/>
        <w:bidi/>
      </w:pPr>
      <w:r>
        <w:rPr>
          <w:rFonts w:ascii="arial" w:hAnsi="arial" w:eastAsia="arial" w:cs="arial"/>
          <w:sz w:val="28"/>
          <w:szCs w:val="28"/>
          <w:b w:val="1"/>
          <w:bCs w:val="1"/>
          <w:rtl/>
        </w:rPr>
        <w:t xml:space="preserve">أبو الحكم
</w:t>
      </w:r>
    </w:p>
    <w:p>
      <w:pPr/>
      <w:r>
        <w:rPr/>
        <w:t xml:space="preserve">أبو الحكم كنية هشام بن سالم الجواليقي.</w:t>
      </w:r>
    </w:p>
    <w:p/>
    <w:p>
      <w:pPr/>
      <w:r>
        <w:rPr/>
        <w:t xml:space="preserve">وكنية عمار بن اليسع الكوفي. قال أبو علي وهو مجهول لا ينصرف إليه الإطلاق.</w:t>
      </w:r>
    </w:p>
    <w:p/>
    <w:p>
      <w:pPr/>
      <w:r>
        <w:rPr/>
        <w:t xml:space="preserve">وكنية هشام بن الحكم. قال أبو علي وقد يوصف بالكندي أقول ويكنى أبا محمد أيضا بل لعله أكثر.</w:t>
      </w:r>
    </w:p>
    <w:p/>
    <w:p>
      <w:pPr/>
      <w:r>
        <w:rPr/>
        <w:t xml:space="preserve">أما مسكين أبو الحكم بن مسكين فقد عبر عنه بذلك النجاشي ولكنه أراد أنه والد الحكم بن مسكين فعرفه بابنه ولم يرد أنه يكنى بأبو الحكم وغن كان محتملا إلا أن كلام النجاشي لا يدل عليه فليس كل من له ولد يكنى به وفي الخلاصة ورجال ابن داود مسكين بن الحكم فجعلا الحكم والده عكس ما قاله النجاشي والظاهر أنه تصحيف.</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2026-06-05T12:59:00+03:00</dcterms:created>
  <dcterms:modified xsi:type="dcterms:W3CDTF">2026-06-05T12:59:00+03:00</dcterms:modified>
</cp:coreProperties>
</file>

<file path=docProps/custom.xml><?xml version="1.0" encoding="utf-8"?>
<Properties xmlns="http://schemas.openxmlformats.org/officeDocument/2006/custom-properties" xmlns:vt="http://schemas.openxmlformats.org/officeDocument/2006/docPropsVTypes"/>
</file>