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بشير بن حامد بن سليمان، أبو النعمان، نجم الدين الزينبي الهاشمي البغدادي: مفسر، من الشافعية، ولد بأردبيل (من مدن أذربيجان) وتفقه ببغداد، ورتب معيدا في المدرسة النظامية بها، وقيل: كان عينا على ابن الجوزي، وعين شيخا للحرم في الأيام المستنصرية، وفقد بصره، وتوفي بمكة، له تصانيف منها (الغنيان في تفسير القرآن) عدة مجلدات. </w:t>
      </w:r>
    </w:p>
    <w:p>
      <w:pPr>
        <w:jc w:val="start"/>
        <w:bidi/>
      </w:pPr>
      <w:r>
        <w:rPr>
          <w:sz w:val="24"/>
          <w:szCs w:val="24"/>
          <w:b w:val="1"/>
          <w:bCs w:val="1"/>
          <w:rtl/>
        </w:rPr>
        <w:t xml:space="preserve">
الأعلام،(دار العلم للملايين - بيروت،2002،ط 15،ج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w:t>
      </w:r>
    </w:p>
    <w:p>
      <w:pPr/>
      <w:r>
        <w:rPr/>
        <w:t xml:space="preserve">بشير ابن حامد بن سليمان بن يوسف، العلامة ذو الفنون، نجم الدين، أبو النعمان الهاشمي، الجعفري، الشافعي، التبريزي، الصوفي، صاحب ’’التفسير الكبير’’، كان من أئمة المذهب.</w:t>
      </w:r>
    </w:p>
    <w:p/>
    <w:p>
      <w:pPr/>
      <w:r>
        <w:rPr/>
        <w:t xml:space="preserve">مولده بأردبيل، سنة سبعين وخمس مائة.</w:t>
      </w:r>
    </w:p>
    <w:p/>
    <w:p>
      <w:pPr/>
      <w:r>
        <w:rPr/>
        <w:t xml:space="preserve">وسمع من: يحيى الثقفي، وابن كليب، وأبي الفتح المندائي، وعدة.</w:t>
      </w:r>
    </w:p>
    <w:p/>
    <w:p>
      <w:pPr/>
      <w:r>
        <w:rPr/>
        <w:t xml:space="preserve">وعنه: الدمياطي، والمحب الطبري، وأبو العباس ابن الظاهري، والضياء السبتي، وغيرهم.</w:t>
      </w:r>
    </w:p>
    <w:p/>
    <w:p>
      <w:pPr/>
      <w:r>
        <w:rPr/>
        <w:t xml:space="preserve">قال ابن النجار: تفقه ببغداد على ابن فضلان، ويحيى بن الربيع، وحفظ المذهب والأصول والخلاف، وأفتى وناظر، وأعاد بالنظامية، ثم ولي نظر الحرم وعمارته.</w:t>
      </w:r>
    </w:p>
    <w:p/>
    <w:p>
      <w:pPr/>
      <w:r>
        <w:rPr/>
        <w:t xml:space="preserve">مات بمكة، في صفر، سنة ست وأربعين وست مائة.</w:t>
      </w:r>
    </w:p>
    <w:p/>
    <w:p>
      <w:pPr/>
      <w:r>
        <w:rPr/>
        <w:t xml:space="preserve">أنبأني قطب الدين الحافظ، حدثني قطب الدين ابن القسطلاني، قال: حكى لي أبو النعمان بشير، قال: دخلت على ابن الخوافي ببغداد، فسرقت مشايتي، فكتبت إليه: </w:t>
      </w:r>
    </w:p>
    <w:p/>
    <w:p>
      <w:pPr>
        <w:jc w:val="center"/>
      </w:pPr>
      <w:r>
        <w:rPr>
          <w:color w:val="ff0000"/>
        </w:rPr>
        <w:t xml:space="preserve">دخلت إليك يا أملي بشيرا</w:t>
      </w:r>
      <w:r>
        <w:rPr>
          <w:color w:val="ff0000"/>
        </w:rPr>
        <w:t xml:space="preserve">      </w:t>
      </w:r>
      <w:r>
        <w:rPr>
          <w:color w:val="ff0000"/>
        </w:rPr>
        <w:t xml:space="preserve"> فلما أن خرجت بقيت بشرا</w:t>
      </w:r>
    </w:p>
    <w:p/>
    <w:p>
      <w:pPr>
        <w:jc w:val="center"/>
      </w:pPr>
      <w:r>
        <w:rPr>
          <w:color w:val="ff0000"/>
        </w:rPr>
        <w:t xml:space="preserve">أعد يائي التي سقطت من اسمي</w:t>
      </w:r>
      <w:r>
        <w:rPr>
          <w:color w:val="ff0000"/>
        </w:rPr>
        <w:t xml:space="preserve">      </w:t>
      </w:r>
      <w:r>
        <w:rPr>
          <w:color w:val="ff0000"/>
        </w:rPr>
        <w:t xml:space="preserve"> فيائي في الحساب تعد عشرا</w:t>
      </w:r>
    </w:p>
    <w:p/>
    <w:p>
      <w:pPr/>
      <w:r>
        <w:rPr/>
        <w:t xml:space="preserve">فسير لي نصف مثقال.</w:t>
      </w:r>
    </w:p>
    <w:p/>
    <w:p>
      <w:pPr/>
      <w:r>
        <w:rPr/>
        <w:t xml:space="preserve">ابن البيطار، اللاردي، الإسفراييني: </w:t>
      </w:r>
    </w:p>
    <w:p>
      <w:pPr>
        <w:jc w:val="start"/>
        <w:bidi/>
      </w:pPr>
      <w:r>
        <w:rPr>
          <w:sz w:val="24"/>
          <w:szCs w:val="24"/>
          <w:b w:val="1"/>
          <w:bCs w:val="1"/>
          <w:rtl/>
        </w:rPr>
        <w:t xml:space="preserve">
سير أعلام النبلاء،(دار الحديث- القاهرة،2006،ط 0،ج 16،ص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الإمام نجم الدين أبو النعمان الجعفري التبريزي
</w:t>
      </w:r>
    </w:p>
    <w:p>
      <w:pPr/>
      <w:r>
        <w:rPr/>
        <w:t xml:space="preserve">بشير بن حامد بن سليمان بن يوسف بن سليمان بن عبد الله الإمام نجم الدين أبو النعمان الجعفري التبريزي ولد بأردبيل في سنة سبعين وخمسمائة</w:t>
      </w:r>
    </w:p>
    <w:p/>
    <w:p>
      <w:pPr/>
      <w:r>
        <w:rPr/>
        <w:t xml:space="preserve">وسمع من عبد المنعم بن كليب ويحيى الثقفي وابن سكينة وابن طبرزد وجماعة</w:t>
      </w:r>
    </w:p>
    <w:p/>
    <w:p>
      <w:pPr/>
      <w:r>
        <w:rPr/>
        <w:t xml:space="preserve">روى عنه الحافظ شرف الدين عبد المؤمن بن خلف الدمياطي وغيره</w:t>
      </w:r>
    </w:p>
    <w:p/>
    <w:p>
      <w:pPr/>
      <w:r>
        <w:rPr/>
        <w:t xml:space="preserve">وكان قد تفقه ببغداد على أبي القاسم ابن فضلان ويحيى بن الربيع وبرع مذهبا وأصولا وخلافا وأفتى وناظر وأعاد بالنظامية وصنف تفسيرا في عدة مجلدات</w:t>
      </w:r>
    </w:p>
    <w:p/>
    <w:p>
      <w:pPr/>
      <w:r>
        <w:rPr/>
        <w:t xml:space="preserve">وانتقل بالآخرة إلى مكة فجاور بها إلى أن مات في ثالث صفر سنة ست وأربعين وستمائة</w:t>
      </w:r>
    </w:p>
    <w:p>
      <w:pPr>
        <w:jc w:val="start"/>
        <w:bidi/>
      </w:pPr>
      <w:r>
        <w:rPr>
          <w:sz w:val="24"/>
          <w:szCs w:val="24"/>
          <w:b w:val="1"/>
          <w:bCs w:val="1"/>
          <w:rtl/>
        </w:rPr>
        <w:t xml:space="preserve">
طبقات الشافعية الكبرى،(دار هجر - القاهرة،1992،ط 2،ج 8،ص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الإمام نجم الدين أبو النعمان الهاشمي الطالبي الجعفري الزينبي التبريزي الفقيه الشافعي الصوفي
</w:t>
      </w:r>
    </w:p>
    <w:p>
      <w:pPr/>
      <w:r>
        <w:rPr/>
        <w:t xml:space="preserve">بشير بن حامد بن سليمان بن يوسف بن سليمان بن عبد الله الإمام نجم الدين أبو النعمان الهاشمي الطالبي الجعفري الزينبي التبريزي الفقيه الشافعي الصوفي. ولد بأردبيل سنة سبعين وخمسمائة، وتفقه ببغداد، علي ابن فضلان وغيره، وحفظ المذهب والأصول والخلاف، وناظر وأفتى وأعاد بالنظامية، وكان إماما مشهورا بالعلم والفضل. وله «تفسير» مليح في عدة مجلدات.</w:t>
      </w:r>
    </w:p>
    <w:p/>
    <w:p>
      <w:pPr/>
      <w:r>
        <w:rPr/>
        <w:t xml:space="preserve">سمع من ابن طبرزد، وعبد المنعم بن كليب، وابن سكينة.</w:t>
      </w:r>
    </w:p>
    <w:p/>
    <w:p>
      <w:pPr/>
      <w:r>
        <w:rPr/>
        <w:t xml:space="preserve">روى عنه الحافظ الظاهري، والمحب الطبري، والشرف الدمياطي وغيرهم.</w:t>
      </w:r>
    </w:p>
    <w:p/>
    <w:p>
      <w:pPr/>
      <w:r>
        <w:rPr/>
        <w:t xml:space="preserve">مات بمكة في صفر سنة ست وأربعين وستمائة، وهو القائل:</w:t>
      </w:r>
    </w:p>
    <w:p/>
    <w:p>
      <w:pPr>
        <w:jc w:val="center"/>
      </w:pPr>
      <w:r>
        <w:rPr>
          <w:color w:val="ff0000"/>
        </w:rPr>
        <w:t xml:space="preserve">دخلت إليك يا أملي بشيرا</w:t>
      </w:r>
      <w:r>
        <w:rPr>
          <w:color w:val="ff0000"/>
        </w:rPr>
        <w:t xml:space="preserve">      </w:t>
      </w:r>
      <w:r>
        <w:rPr>
          <w:color w:val="ff0000"/>
        </w:rPr>
        <w:t xml:space="preserve"> فلما أن خرجت بشرا </w:t>
      </w:r>
    </w:p>
    <w:p/>
    <w:p>
      <w:pPr>
        <w:jc w:val="center"/>
      </w:pPr>
      <w:r>
        <w:rPr>
          <w:color w:val="ff0000"/>
        </w:rPr>
        <w:t xml:space="preserve">أعد يائي التي سقطت من اسمي</w:t>
      </w:r>
      <w:r>
        <w:rPr>
          <w:color w:val="ff0000"/>
        </w:rPr>
        <w:t xml:space="preserve">      </w:t>
      </w:r>
      <w:r>
        <w:rPr>
          <w:color w:val="ff0000"/>
        </w:rPr>
        <w:t xml:space="preserve"> فيائي في الحساب تعد عشرا</w:t>
      </w:r>
    </w:p>
    <w:p/>
    <w:p>
      <w:pPr/>
      <w:r>
        <w:rPr/>
        <w:t xml:space="preserve">وكان دخل على بعض الكبار فسرقت نعله.</w:t>
      </w:r>
    </w:p>
    <w:p>
      <w:pPr>
        <w:jc w:val="start"/>
        <w:bidi/>
      </w:pPr>
      <w:r>
        <w:rPr>
          <w:sz w:val="24"/>
          <w:szCs w:val="24"/>
          <w:b w:val="1"/>
          <w:bCs w:val="1"/>
          <w:rtl/>
        </w:rPr>
        <w:t xml:space="preserve">
طبقات المفسرين للداوودي،(دار الكتب العلمية - بيروت،0000،ط 0،ج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الإمام نجم الدين أبو النعمان الهاشمي الطالبي الجعفري الزينبي التبريزي
</w:t>
      </w:r>
    </w:p>
    <w:p>
      <w:pPr/>
      <w:r>
        <w:rPr/>
        <w:t xml:space="preserve">بشير بن حامد بن سليمان بن يوسف بن سليمان بن عبد الله الإمام نجم الدين أبو النعمان الهاشمي الطالبي الجعفري الزينبي التبريزي الصوفي الفقيه ولد بأردبيل سنة سبعين وخمسمائة وتفقه ببغداد على ابن فضلان وغيره وحفظ المذاهب والأصول والخلاف وناظر وأفتى وأعاد بالنظامية وكان إماما مشهورا</w:t>
      </w:r>
    </w:p>
    <w:p/>
    <w:p>
      <w:pPr/>
      <w:r>
        <w:rPr/>
        <w:t xml:space="preserve">بالعلم والفضل وله تفسير مليح في عدة مجلدات</w:t>
      </w:r>
    </w:p>
    <w:p/>
    <w:p>
      <w:pPr/>
      <w:r>
        <w:rPr/>
        <w:t xml:space="preserve">سمع من ابن طبرزد وعبد المنعم بن كليب وابن سكينة</w:t>
      </w:r>
    </w:p>
    <w:p/>
    <w:p>
      <w:pPr/>
      <w:r>
        <w:rPr/>
        <w:t xml:space="preserve">روى عنه الحافظ الظاهري والمحب الطبري والشرف الدمياطي وغيره</w:t>
      </w:r>
    </w:p>
    <w:p/>
    <w:p>
      <w:pPr/>
      <w:r>
        <w:rPr/>
        <w:t xml:space="preserve">قد توفي بمكة في شهر صفر سنة ست وأربعين وستمائة</w:t>
      </w:r>
    </w:p>
    <w:p>
      <w:pPr>
        <w:jc w:val="start"/>
        <w:bidi/>
      </w:pPr>
      <w:r>
        <w:rPr>
          <w:sz w:val="24"/>
          <w:szCs w:val="24"/>
          <w:b w:val="1"/>
          <w:bCs w:val="1"/>
          <w:rtl/>
        </w:rPr>
        <w:t xml:space="preserve">
طبقات المفسرين للأدنه وي،(مكتبة العلوم والحكم - المدينة المنورة،1997،ط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عبد الله بن الحسين بن زيد بن الحسن بن إسحاق بن محمد بن يوسف بن جعفر بن إبراهيم بن محمد
</w:t>
      </w:r>
    </w:p>
    <w:p>
      <w:pPr/>
      <w:r>
        <w:rPr/>
        <w:t xml:space="preserve">بشير بن حامد بن سليمان بن يوسف بن عبد الله بن الحسين بن زيد بن الحسن بن إسحاق بن محمد بن يوسف بن جعفر بن إبراهيم بن محمد بن علي الزينبى ابن عبد الله الجواد بن جعفر الطيار بن أبي طالب القرشي الهاشمي الجعفرى، شيخ الحرم، نجم الدين أبو النعمان بن أبي بكر التبريزي البغدادي الشافعي: </w:t>
      </w:r>
    </w:p>
    <w:p/>
    <w:p>
      <w:pPr/>
      <w:r>
        <w:rPr/>
        <w:t xml:space="preserve">تفقه على يحيى بن فضلان، ويحيى بن الربيع. وسمع من عبد المنعم بن كليب، جزء ابن عرفة، وقرأ على ابن سكينة، جزء الأنصاري، وجزء الغطريف، ومن ابن طبرزد، والحافظ أبي الفرج بن الجوزي، وأبي جعفر الصيدلانى، ويحيى بن محمود الثقفي وغيرهم. وحدث ودرس وأفتى، وتخرج به الفضلاء وسمعوا منه.</w:t>
      </w:r>
    </w:p>
    <w:p/>
    <w:p>
      <w:pPr/>
      <w:r>
        <w:rPr/>
        <w:t xml:space="preserve">وذكر ابن الساعي: أنه رتب معيدا في المدرسة النظامية ببغداد، ثم عين مع ذلك شيخا للحرم، وفوض إليه النظر في مصالحه وعمارته في الأيام المستنصرية، ولم يزل على ذلك، حتى أضر، فنفذ عوضه وانقطع بمنزله يسمع ويفتى، ويشغل بالعلم حتى مات. انتهى.</w:t>
      </w:r>
    </w:p>
    <w:p/>
    <w:p>
      <w:pPr/>
      <w:r>
        <w:rPr/>
        <w:t xml:space="preserve">وكان حاويا لعلوم، منها علم الخلاف، وإليه انتهت الرئاسة فيه بالعراق. وله تصانيف منها: الغنيان في تفسير القرآن العظيم في مجلدات. وله نظم حسن ومناقب جمة، منها: أنه لما قرب في تفسيره للقرآن العظيم إلى الختم، أخذ الله بصره، فقال: يا رب أعرنى إياه حتى أختم. فكان كذلك. كذا وجدت بخط الشيخ أبي العباس الميورقي، ورأيت ما يدل على أنه كان انتهى إلى سورة البلد. وأظن أنى ألفيت ذلك بخط الميورقي. والله أعلم.</w:t>
      </w:r>
    </w:p>
    <w:p/>
    <w:p>
      <w:pPr/>
      <w:r>
        <w:rPr/>
        <w:t xml:space="preserve">ومنها: أن تلميذه المحب الطبري، ذكر في شرح التنبيه، أنه رمى معه الجمار. فقال الشيخ نجم الدين: رأيت الحصى يرفع؟، فقال له المحب: حصى من يا سيدى؟ فقال: حصاى. وقد أثنى عليه غير واحد، منهم: ابن الحاجب الأميني؛ لأنه قال في معجمه: شيخنا هذا، أحد الفقهاء المتميزين، مليح المنظر، حسن المخبر، فصيح اللسان، مع عجمة</w:t>
      </w:r>
    </w:p>
    <w:p/>
    <w:p>
      <w:pPr/>
      <w:r>
        <w:rPr/>
        <w:t xml:space="preserve">فى لسانه، ضحوك السن، محبا للغريب، حسن الإيراد. وكان معيدا للمدرسة النظامية مدة، كتبنا عنه بدمشق، لما قدم مع ابن الجوزي رسولا من الديوان العزيزى الظاهري قدسه الله. وكان يتحبب لابن الجوزي، وقيل إنه كان عينا عليه، حدث ببغداد - ولم أسمع عليه بها - وبدمشق وبمصر. انتهى.</w:t>
      </w:r>
    </w:p>
    <w:p/>
    <w:p>
      <w:pPr/>
      <w:r>
        <w:rPr/>
        <w:t xml:space="preserve">وقال ابن الساعي: سافر في طلب العلم وسماع الحديث، ولقى عدة مشايخ، ثم قال: وكان جميل الوجه، مليح الشيبة، لطيف الأخلاق، حسن العشرة كثير التواضع. وله نظم، وأنشد له شعرا يأتي ذكره.</w:t>
      </w:r>
    </w:p>
    <w:p/>
    <w:p>
      <w:pPr/>
      <w:r>
        <w:rPr/>
        <w:t xml:space="preserve">وذكره ابن مسدى في معجمه، فقال: أحد الفقهاء الشافعية أصلا وفرعا، المناضلين به وعنه إيجابا ومنعا.</w:t>
      </w:r>
    </w:p>
    <w:p/>
    <w:p>
      <w:pPr/>
      <w:r>
        <w:rPr/>
        <w:t xml:space="preserve">وقد ولى مشيخة الحرم الشريف، فطلع بدرا في ذلك الأفق المنيف، جبر وصدع، وحبر ونفع، وغلبت عليه الأبوة والنفس الأبية، فأكرم القصاد، وأنهل الوراد، وجاد وزاد، وأبدأ وأعاد، وتصرف تصرف المستخدمين جاها ومالا، نسأل الله له المسامحة مآلا. وكان في نفسه قد حوى علوما، وتأدب منثورا ومنظوما. ثم قال: وكان من الرجال المكثرين، ولم يكن في معرفة هذا الفن بذاك المكين. ولم أر فيما وقفت عليه من رواياته، ووقع إلى من سماعاته، شيئا أنكره عليه، إلا أنه أسمع أشياء، زعم أن الحافظ أبا القاسم علي بن الحسن المعروف بابن عساكر الشافعي أجازه. وفي الخاطر منها شيء. وأظنه وهم في ذلك، وإنما المجيز له ولده القاسم. والله أعلم.</w:t>
      </w:r>
    </w:p>
    <w:p/>
    <w:p>
      <w:pPr/>
      <w:r>
        <w:rPr/>
        <w:t xml:space="preserve">ومن شعره على ما ذكر ابن الساعى [من البسيط]:</w:t>
      </w:r>
    </w:p>
    <w:p/>
    <w:p>
      <w:pPr>
        <w:jc w:val="center"/>
      </w:pPr>
      <w:r>
        <w:rPr>
          <w:color w:val="ff0000"/>
        </w:rPr>
        <w:t xml:space="preserve">أمسى ينبه وجد الصب ذي الفكر</w:t>
      </w:r>
      <w:r>
        <w:rPr>
          <w:color w:val="ff0000"/>
        </w:rPr>
        <w:t xml:space="preserve">      </w:t>
      </w:r>
      <w:r>
        <w:rPr>
          <w:color w:val="ff0000"/>
        </w:rPr>
        <w:t xml:space="preserve">طيف ألم به في غفوة السهر</w:t>
      </w:r>
    </w:p>
    <w:p/>
    <w:p>
      <w:pPr>
        <w:jc w:val="center"/>
      </w:pPr>
      <w:r>
        <w:rPr>
          <w:color w:val="ff0000"/>
        </w:rPr>
        <w:t xml:space="preserve">فبات مكتئبا حيران تطرقه</w:t>
      </w:r>
      <w:r>
        <w:rPr>
          <w:color w:val="ff0000"/>
        </w:rPr>
        <w:t xml:space="preserve">      </w:t>
      </w:r>
      <w:r>
        <w:rPr>
          <w:color w:val="ff0000"/>
        </w:rPr>
        <w:t xml:space="preserve">الأشجان عن سعر منها إلى سعر</w:t>
      </w:r>
    </w:p>
    <w:p/>
    <w:p>
      <w:pPr>
        <w:jc w:val="center"/>
      </w:pPr>
      <w:r>
        <w:rPr>
          <w:color w:val="ff0000"/>
        </w:rPr>
        <w:t xml:space="preserve">واها لها إن جرى ذكر العقيق به</w:t>
      </w:r>
      <w:r>
        <w:rPr>
          <w:color w:val="ff0000"/>
        </w:rPr>
        <w:t xml:space="preserve">      </w:t>
      </w:r>
      <w:r>
        <w:rPr>
          <w:color w:val="ff0000"/>
        </w:rPr>
        <w:t xml:space="preserve">وهنا فأضحى بعيد العين والأثر</w:t>
      </w:r>
    </w:p>
    <w:p/>
    <w:p>
      <w:pPr>
        <w:jc w:val="center"/>
      </w:pPr>
      <w:r>
        <w:rPr>
          <w:color w:val="ff0000"/>
        </w:rPr>
        <w:t xml:space="preserve">مروع الشوق لا يأوى إلى وطن</w:t>
      </w:r>
      <w:r>
        <w:rPr>
          <w:color w:val="ff0000"/>
        </w:rPr>
        <w:t xml:space="preserve">      </w:t>
      </w:r>
      <w:r>
        <w:rPr>
          <w:color w:val="ff0000"/>
        </w:rPr>
        <w:t xml:space="preserve">ولا يصيح من البلوى لمزدجر</w:t>
      </w:r>
    </w:p>
    <w:p/>
    <w:p>
      <w:pPr>
        <w:jc w:val="center"/>
      </w:pPr>
      <w:r>
        <w:rPr>
          <w:color w:val="ff0000"/>
        </w:rPr>
        <w:t xml:space="preserve">فى كل يوم له خل يفارقه</w:t>
      </w:r>
      <w:r>
        <w:rPr>
          <w:color w:val="ff0000"/>
        </w:rPr>
        <w:t xml:space="preserve">      </w:t>
      </w:r>
      <w:r>
        <w:rPr>
          <w:color w:val="ff0000"/>
        </w:rPr>
        <w:t xml:space="preserve">ومنزل بدل من منزل دثر</w:t>
      </w:r>
    </w:p>
    <w:p/>
    <w:p>
      <w:pPr>
        <w:jc w:val="center"/>
      </w:pPr>
      <w:r>
        <w:rPr>
          <w:color w:val="ff0000"/>
        </w:rPr>
        <w:t xml:space="preserve">تبا لدار إذا ما أضحكت بشرا</w:t>
      </w:r>
      <w:r>
        <w:rPr>
          <w:color w:val="ff0000"/>
        </w:rPr>
        <w:t xml:space="preserve">      </w:t>
      </w:r>
      <w:r>
        <w:rPr>
          <w:color w:val="ff0000"/>
        </w:rPr>
        <w:t xml:space="preserve">في مسى ليلتها أبكته في السحر</w:t>
      </w:r>
    </w:p>
    <w:p/>
    <w:p>
      <w:pPr>
        <w:jc w:val="center"/>
      </w:pPr>
      <w:r>
        <w:rPr>
          <w:color w:val="ff0000"/>
        </w:rPr>
        <w:t xml:space="preserve">لذاتها رؤية الأحلام تحسبها</w:t>
      </w:r>
      <w:r>
        <w:rPr>
          <w:color w:val="ff0000"/>
        </w:rPr>
        <w:t xml:space="preserve">      </w:t>
      </w:r>
      <w:r>
        <w:rPr>
          <w:color w:val="ff0000"/>
        </w:rPr>
        <w:t xml:space="preserve">حقا أخو ظلة لم يصح من سكر</w:t>
      </w:r>
    </w:p>
    <w:p/>
    <w:p>
      <w:pPr>
        <w:jc w:val="center"/>
      </w:pPr>
      <w:r>
        <w:rPr>
          <w:color w:val="ff0000"/>
        </w:rPr>
        <w:t xml:space="preserve">فأين كسرى وسابور المقدم أم</w:t>
      </w:r>
      <w:r>
        <w:rPr>
          <w:color w:val="ff0000"/>
        </w:rPr>
        <w:t xml:space="preserve">      </w:t>
      </w:r>
      <w:r>
        <w:rPr>
          <w:color w:val="ff0000"/>
        </w:rPr>
        <w:t xml:space="preserve">أين المملك في الدنيا أخو الخضر</w:t>
      </w:r>
    </w:p>
    <w:p/>
    <w:p>
      <w:pPr>
        <w:jc w:val="center"/>
      </w:pPr>
      <w:r>
        <w:rPr>
          <w:color w:val="ff0000"/>
        </w:rPr>
        <w:t xml:space="preserve">أين الخورنق يتلوه السدير فكم</w:t>
      </w:r>
      <w:r>
        <w:rPr>
          <w:color w:val="ff0000"/>
        </w:rPr>
        <w:t xml:space="preserve">      </w:t>
      </w:r>
      <w:r>
        <w:rPr>
          <w:color w:val="ff0000"/>
        </w:rPr>
        <w:t xml:space="preserve">من مأرب فيهما قضى ومن وطر</w:t>
      </w:r>
    </w:p>
    <w:p/>
    <w:p>
      <w:pPr>
        <w:jc w:val="center"/>
      </w:pPr>
      <w:r>
        <w:rPr>
          <w:color w:val="ff0000"/>
        </w:rPr>
        <w:t xml:space="preserve">لم يبق إلا جميل الذكر إن له</w:t>
      </w:r>
      <w:r>
        <w:rPr>
          <w:color w:val="ff0000"/>
        </w:rPr>
        <w:t xml:space="preserve">      </w:t>
      </w:r>
      <w:r>
        <w:rPr>
          <w:color w:val="ff0000"/>
        </w:rPr>
        <w:t xml:space="preserve">صبرا على غابر الآباد والعصر</w:t>
      </w:r>
    </w:p>
    <w:p/>
    <w:p>
      <w:pPr>
        <w:jc w:val="center"/>
      </w:pPr>
      <w:r>
        <w:rPr>
          <w:color w:val="ff0000"/>
        </w:rPr>
        <w:t xml:space="preserve">فاذخر لنفسك مهما اسطعت من عمل</w:t>
      </w:r>
      <w:r>
        <w:rPr>
          <w:color w:val="ff0000"/>
        </w:rPr>
        <w:t xml:space="preserve">      </w:t>
      </w:r>
      <w:r>
        <w:rPr>
          <w:color w:val="ff0000"/>
        </w:rPr>
        <w:t xml:space="preserve">ينجيك يوم معاد الخلق من سقر</w:t>
      </w:r>
    </w:p>
    <w:p/>
    <w:p>
      <w:pPr/>
      <w:r>
        <w:rPr/>
        <w:t xml:space="preserve">ومن شعره فيما كتب به إلى ابن الخوافى عارض الجيش ببغداد، وقد سرقت مشايته [من الوافر]:</w:t>
      </w:r>
    </w:p>
    <w:p/>
    <w:p>
      <w:pPr>
        <w:jc w:val="center"/>
      </w:pPr>
      <w:r>
        <w:rPr>
          <w:color w:val="ff0000"/>
        </w:rPr>
        <w:t xml:space="preserve">دخلت إليك يا أملى بشيرا</w:t>
      </w:r>
      <w:r>
        <w:rPr>
          <w:color w:val="ff0000"/>
        </w:rPr>
        <w:t xml:space="preserve">      </w:t>
      </w:r>
      <w:r>
        <w:rPr>
          <w:color w:val="ff0000"/>
        </w:rPr>
        <w:t xml:space="preserve">فلما أن خرجت خرجت بشرا</w:t>
      </w:r>
    </w:p>
    <w:p/>
    <w:p>
      <w:pPr>
        <w:jc w:val="center"/>
      </w:pPr>
      <w:r>
        <w:rPr>
          <w:color w:val="ff0000"/>
        </w:rPr>
        <w:t xml:space="preserve">أعد يائى التي سقطت من اسمى</w:t>
      </w:r>
      <w:r>
        <w:rPr>
          <w:color w:val="ff0000"/>
        </w:rPr>
        <w:t xml:space="preserve">      </w:t>
      </w:r>
      <w:r>
        <w:rPr>
          <w:color w:val="ff0000"/>
        </w:rPr>
        <w:t xml:space="preserve">فيائى في الحساب تعد عشرا</w:t>
      </w:r>
    </w:p>
    <w:p/>
    <w:p>
      <w:pPr/>
      <w:r>
        <w:rPr/>
        <w:t xml:space="preserve">قال الشيخ نجم الدين بشير التبريزي: فسير لي نصف مثقال، وهو عشرة قراريط، واعتذر.</w:t>
      </w:r>
    </w:p>
    <w:p/>
    <w:p>
      <w:pPr/>
      <w:r>
        <w:rPr/>
        <w:t xml:space="preserve">حكى هذه الحكاية عنه: تلميذه القطب القسطلاني، فيما حكاه عنه القطب الحلبي.</w:t>
      </w:r>
    </w:p>
    <w:p/>
    <w:p>
      <w:pPr/>
      <w:r>
        <w:rPr/>
        <w:t xml:space="preserve">توفى في ضحوة يوم الخميس، ثالث صفر سنة ست وأربعين وستمائة بمكة. ودفن بالمعلاة.</w:t>
      </w:r>
    </w:p>
    <w:p/>
    <w:p>
      <w:pPr/>
      <w:r>
        <w:rPr/>
        <w:t xml:space="preserve">هكذا ذكر وفاته المحب الطبري في «العقود الدرية والمشيخة الملكية المظفرية»، والميورقي، إلا أنه قال: لثلاث خلون من صفر.</w:t>
      </w:r>
    </w:p>
    <w:p/>
    <w:p>
      <w:pPr/>
      <w:r>
        <w:rPr/>
        <w:t xml:space="preserve">ومولده في ثاني عشر ربيع الأول، سنة سبعين وخمسمائة بأردبيل .</w:t>
      </w:r>
    </w:p>
    <w:p/>
    <w:p>
      <w:pPr/>
      <w:r>
        <w:rPr/>
        <w:t xml:space="preserve">هكذا ذكر تاريخ مولده وموضعه ابن الحاجب الأميني. وذكر أنه أخبره بذلك لما سأله عنه.</w:t>
      </w:r>
    </w:p>
    <w:p/>
    <w:p>
      <w:pPr/>
      <w:r>
        <w:rPr/>
        <w:t xml:space="preserve">وذكر ذلك هكذا ابن الساعى، وقال: نشأ بتبريز، وقال ابن مسدي: ولد بتبريز، ويقال: بموقان، وذكر نسبه إلى جعفر كما ذكرنا: ابن مسدى وابن الساعى، وابن الحاجب.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النعمان التبريزي
</w:t>
      </w:r>
    </w:p>
    <w:p>
      <w:pPr/>
      <w:r>
        <w:rPr/>
        <w:t xml:space="preserve">أبو النعمان التبريزي: </w:t>
      </w:r>
    </w:p>
    <w:p/>
    <w:p>
      <w:pPr/>
      <w:r>
        <w:rPr/>
        <w:t xml:space="preserve">هو شيخ الحرم، نجم الدين، بشير بن حامد الجعفرى.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w:t>
      </w:r>
    </w:p>
    <w:p>
      <w:pPr/>
      <w:r>
        <w:rPr/>
        <w:t xml:space="preserve">بشير بن حامد بن سليمان بن يوسف بن سليمان بن عبد الله. </w:t>
      </w:r>
    </w:p>
    <w:p/>
    <w:p>
      <w:pPr/>
      <w:r>
        <w:rPr/>
        <w:t xml:space="preserve">الإمام نجم الدين أبو النعمان الهاشمي الطالبي الجعفري الزينبي التبريزي الصوفي الفقيه.</w:t>
      </w:r>
    </w:p>
    <w:p/>
    <w:p>
      <w:pPr/>
      <w:r>
        <w:rPr/>
        <w:t xml:space="preserve">ولد بأردبيل سنة سبعين وخمسمائة، وتفقه ببغداد على ابن فضلان وغيره، وحفظ المذهب والأصول والخلاف، وناظر وأفتى، وأعاد بالنظامية، وكان إماما مشهوراً بالعلم والفضل.</w:t>
      </w:r>
    </w:p>
    <w:p/>
    <w:p>
      <w:pPr/>
      <w:r>
        <w:rPr/>
        <w:t xml:space="preserve">وله تفسير مليح في عدة مجلدات.</w:t>
      </w:r>
    </w:p>
    <w:p/>
    <w:p>
      <w:pPr/>
      <w:r>
        <w:rPr/>
        <w:t xml:space="preserve">سمع من ابن طبرزد، وعبد المنعم بن كليب، وابن سكينة.</w:t>
      </w:r>
    </w:p>
    <w:p/>
    <w:p>
      <w:pPr/>
      <w:r>
        <w:rPr/>
        <w:t xml:space="preserve">روى عنه الحافظ الظاهري، والمحب الطبري، والشرف الدمياطي وغيره.</w:t>
      </w:r>
    </w:p>
    <w:p/>
    <w:p>
      <w:pPr/>
      <w:r>
        <w:rPr/>
        <w:t xml:space="preserve">مات بمكة في صفر سنة ست وأربعين وستمائة وهو القائل:</w:t>
      </w:r>
    </w:p>
    <w:p/>
    <w:p>
      <w:pPr>
        <w:jc w:val="center"/>
      </w:pPr>
      <w:r>
        <w:rPr>
          <w:color w:val="ff0000"/>
        </w:rPr>
        <w:t xml:space="preserve">دخلت إليك يا أملي بشيراً </w:t>
      </w:r>
      <w:r>
        <w:rPr>
          <w:color w:val="ff0000"/>
        </w:rPr>
        <w:t xml:space="preserve">      </w:t>
      </w:r>
      <w:r>
        <w:rPr>
          <w:color w:val="ff0000"/>
        </w:rPr>
        <w:t xml:space="preserve">فلما أن خرجت خرجت بشرا</w:t>
      </w:r>
    </w:p>
    <w:p/>
    <w:p>
      <w:pPr>
        <w:jc w:val="center"/>
      </w:pPr>
      <w:r>
        <w:rPr>
          <w:color w:val="ff0000"/>
        </w:rPr>
        <w:t xml:space="preserve">أعد يائي التي سقطت من اسمي </w:t>
      </w:r>
      <w:r>
        <w:rPr>
          <w:color w:val="ff0000"/>
        </w:rPr>
        <w:t xml:space="preserve">      </w:t>
      </w:r>
      <w:r>
        <w:rPr>
          <w:color w:val="ff0000"/>
        </w:rPr>
        <w:t xml:space="preserve">فيائي في الحساب تعد عشراً</w:t>
      </w:r>
    </w:p>
    <w:p/>
    <w:p>
      <w:pPr/>
      <w:r>
        <w:rPr/>
        <w:t xml:space="preserve">وكان دخل على بعض الكبار فسرقت نعله.</w:t>
      </w:r>
    </w:p>
    <w:p>
      <w:pPr>
        <w:jc w:val="start"/>
        <w:bidi/>
      </w:pPr>
      <w:r>
        <w:rPr>
          <w:sz w:val="24"/>
          <w:szCs w:val="24"/>
          <w:b w:val="1"/>
          <w:bCs w:val="1"/>
          <w:rtl/>
        </w:rPr>
        <w:t xml:space="preserve">
طبقات المفسرين للسيوطي،(مكتبة وهبة - القاهرة،1976،ط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أبو حامد الجعفرى التبريزي
</w:t>
      </w:r>
    </w:p>
    <w:p>
      <w:pPr/>
      <w:r>
        <w:rPr/>
        <w:t xml:space="preserve">بشير بن حامد بن سليمان أبو حامد الجعفرى التبريزي </w:t>
      </w:r>
    </w:p>
    <w:p/>
    <w:p>
      <w:pPr/>
      <w:r>
        <w:rPr/>
        <w:t xml:space="preserve">ولد بإربل سنة سبعين وخمسمائة، ساق ابن النجار نسبه إلى جعفر بن أبي طالب، تفقه ببغداد على ابن فضلان وغيره، وأعاد بالنظامية، روى عنه الدمياطى وغيره، وجاور بمكة، وتوفى بها سنة ست وستمائة، نظر في عمارة المسجد الحرام من قبل الخليفة .</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2026-07-27T13:36:26+03:00</dcterms:created>
  <dcterms:modified xsi:type="dcterms:W3CDTF">2026-07-27T13:36:26+03:00</dcterms:modified>
</cp:coreProperties>
</file>

<file path=docProps/custom.xml><?xml version="1.0" encoding="utf-8"?>
<Properties xmlns="http://schemas.openxmlformats.org/officeDocument/2006/custom-properties" xmlns:vt="http://schemas.openxmlformats.org/officeDocument/2006/docPropsVTypes"/>
</file>