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الساوي
</w:t>
      </w:r>
    </w:p>
    <w:p>
      <w:pPr/>
      <w:r>
        <w:rPr/>
        <w:t xml:space="preserve">محمد الساوي </w:t>
      </w:r>
    </w:p>
    <w:p/>
    <w:p>
      <w:pPr/>
      <w:r>
        <w:rPr/>
        <w:t xml:space="preserve">محمد بن علي بن عبد الواحد بن محمد الساوي من أهل ساوة.</w:t>
      </w:r>
    </w:p>
    <w:p/>
    <w:p>
      <w:pPr/>
      <w:r>
        <w:rPr/>
        <w:t xml:space="preserve">كتب الحديث ببلده، وفي الرحلة عن جماعة. كتب إلي الإجازة. وكانت ولادته في رجب سنة سبع وستين وأربعمئة ووفاته بعد شوال سنة تسع وعشرين وخمسمئة، وقيل سنة سبع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التحبير في المعجم الكبير،(رئاسة ديوان الأوقاف - بغداد،1975،ط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2026-07-25T13:32:52+03:00</dcterms:created>
  <dcterms:modified xsi:type="dcterms:W3CDTF">2026-07-25T13:32:52+03:00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