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 أبو الحسن بن محمد بن زمان بن عناية الله التستري
</w:t>
      </w:r>
    </w:p>
    <w:p>
      <w:pPr>
        <w:jc w:val="start"/>
        <w:bidi/>
      </w:pPr>
      <w:r>
        <w:rPr>
          <w:rFonts w:ascii="arial" w:hAnsi="arial" w:eastAsia="arial" w:cs="arial"/>
          <w:sz w:val="28"/>
          <w:szCs w:val="28"/>
          <w:b w:val="1"/>
          <w:bCs w:val="1"/>
          <w:rtl/>
        </w:rPr>
        <w:t xml:space="preserve">الحاج أبو الحسن بن محمد بن زمان بن عناية الله التستري
</w:t>
      </w:r>
    </w:p>
    <w:p>
      <w:pPr/>
      <w:r>
        <w:rPr/>
        <w:t xml:space="preserve">الحاج أبو الحسن بن محمد بن زمان بن عناية الله التستري توفي سنة 1143.</w:t>
      </w:r>
    </w:p>
    <w:p/>
    <w:p>
      <w:pPr/>
      <w:r>
        <w:rPr/>
        <w:t xml:space="preserve">ذكره السيد عبد الله بن نور الدين بن نعمة الله الجزائري في ذيل إجازته الكبيرة الذي هو بمنزلة تتمة أمل الآمل وظاهره أن اسمه كنيته فقال: كان عالما ذكيا حسن الإدراك رضي الأخلاق مستجمعا لصفات الخير كلها من أقران والدي وشركائه في الدرس عند جدي وله منه إجازات متعددة ولما توفي رثيته بمرثية رسمت على لوح قبره (اه).</w:t>
      </w:r>
    </w:p>
    <w:p>
      <w:pPr>
        <w:jc w:val="start"/>
        <w:bidi/>
      </w:pPr>
      <w:r>
        <w:rPr>
          <w:sz w:val="24"/>
          <w:szCs w:val="24"/>
          <w:b w:val="1"/>
          <w:bCs w:val="1"/>
          <w:rtl/>
        </w:rPr>
        <w:t xml:space="preserve">
أعيان الشيعة،(دار التعارف للمطبوعات - بيروت،1983،ط 1،ج 2،ص 338)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2026-06-05T09:16:18+03:00</dcterms:created>
  <dcterms:modified xsi:type="dcterms:W3CDTF">2026-06-05T09:16:18+03:00</dcterms:modified>
</cp:coreProperties>
</file>

<file path=docProps/custom.xml><?xml version="1.0" encoding="utf-8"?>
<Properties xmlns="http://schemas.openxmlformats.org/officeDocument/2006/custom-properties" xmlns:vt="http://schemas.openxmlformats.org/officeDocument/2006/docPropsVTypes"/>
</file>