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الجيزباراني
</w:t>
      </w:r>
    </w:p>
    <w:p>
      <w:pPr>
        <w:jc w:val="start"/>
        <w:bidi/>
      </w:pPr>
      <w:r>
        <w:rPr>
          <w:rFonts w:ascii="arial" w:hAnsi="arial" w:eastAsia="arial" w:cs="arial"/>
          <w:sz w:val="28"/>
          <w:szCs w:val="28"/>
          <w:b w:val="1"/>
          <w:bCs w:val="1"/>
          <w:rtl/>
        </w:rPr>
        <w:t xml:space="preserve">أبو محمد الجيزباراني
</w:t>
      </w:r>
    </w:p>
    <w:p>
      <w:pPr/>
      <w:r>
        <w:rPr/>
        <w:t xml:space="preserve">أبو محمد الجيزباراني </w:t>
      </w:r>
    </w:p>
    <w:p/>
    <w:p>
      <w:pPr/>
      <w:r>
        <w:rPr/>
        <w:t xml:space="preserve">أبو محمد عبد الرحمن بن محمد بن عبد الرحمن ابن أبي الوفاء النيسابوري البيع التميمي الجيزباراني المعروف بالجيزباران.</w:t>
      </w:r>
    </w:p>
    <w:p/>
    <w:p>
      <w:pPr/>
      <w:r>
        <w:rPr/>
        <w:t xml:space="preserve">أما والده أبا بكر من وجوه بلده عاش مائة وخمس سنين، وولده أبو طالب محمد. سمعت منه الكثير وأبو محمد هذا من اهل التمييز والثروة والجاه واليسار. سمع أبا مسعود أحمد بن محمد ابن عبد الله البجلي الرازي الحافظ، والأستاذ أبا عثمان الصابوني، وأبا حفص مسرور. كتب إلي الإجازة سنة تسع وخمسمئة وتوفي في شهر ربيع الأول سنة عشرين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2026-07-27T08:12:59+03:00</dcterms:created>
  <dcterms:modified xsi:type="dcterms:W3CDTF">2026-07-27T08:12:59+03:00</dcterms:modified>
</cp:coreProperties>
</file>

<file path=docProps/custom.xml><?xml version="1.0" encoding="utf-8"?>
<Properties xmlns="http://schemas.openxmlformats.org/officeDocument/2006/custom-properties" xmlns:vt="http://schemas.openxmlformats.org/officeDocument/2006/docPropsVTypes"/>
</file>