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البدر الطبراني
</w:t>
      </w:r>
    </w:p>
    <w:p>
      <w:pPr>
        <w:jc w:val="start"/>
        <w:bidi/>
      </w:pPr>
      <w:r>
        <w:rPr>
          <w:rFonts w:ascii="arial" w:hAnsi="arial" w:eastAsia="arial" w:cs="arial"/>
          <w:sz w:val="28"/>
          <w:szCs w:val="28"/>
          <w:b w:val="1"/>
          <w:bCs w:val="1"/>
          <w:rtl/>
        </w:rPr>
        <w:t xml:space="preserve">أبو البدر الطبراني
</w:t>
      </w:r>
    </w:p>
    <w:p>
      <w:pPr/>
      <w:r>
        <w:rPr/>
        <w:t xml:space="preserve">أبو البدر الطبراني </w:t>
      </w:r>
    </w:p>
    <w:p/>
    <w:p>
      <w:pPr/>
      <w:r>
        <w:rPr/>
        <w:t xml:space="preserve">أبو البدر حسان بن كامل بن صخر بن محمد بن أحمد بن أبي صخر الطبراني الطوسي من أهل الطابران.</w:t>
      </w:r>
    </w:p>
    <w:p/>
    <w:p>
      <w:pPr/>
      <w:r>
        <w:rPr/>
        <w:t xml:space="preserve">كان شيخاً، ظريفاً، خفيفاً، كيساً، تفقه بمرو على جدي الإمام أبي المظفر السمعاني، وكان جدي يكرمه ويقربه. سمع منه الحديث، وكتب أكثر مجالس أماليه. لقيته أولاً بنيسابور، وكتبت عنه بقريته جاغرق، وسمعت منه، وكانت ولادته في حدود سنة ستين وأربعمئة أو بعدها بقليل.</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2026-05-14T18:11:55+03:00</dcterms:created>
  <dcterms:modified xsi:type="dcterms:W3CDTF">2026-05-14T18:11:55+03:00</dcterms:modified>
</cp:coreProperties>
</file>

<file path=docProps/custom.xml><?xml version="1.0" encoding="utf-8"?>
<Properties xmlns="http://schemas.openxmlformats.org/officeDocument/2006/custom-properties" xmlns:vt="http://schemas.openxmlformats.org/officeDocument/2006/docPropsVTypes"/>
</file>