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البزاز
</w:t>
      </w:r>
    </w:p>
    <w:p>
      <w:pPr>
        <w:jc w:val="start"/>
        <w:bidi/>
      </w:pPr>
      <w:r>
        <w:rPr>
          <w:rFonts w:ascii="arial" w:hAnsi="arial" w:eastAsia="arial" w:cs="arial"/>
          <w:sz w:val="28"/>
          <w:szCs w:val="28"/>
          <w:b w:val="1"/>
          <w:bCs w:val="1"/>
          <w:rtl/>
        </w:rPr>
        <w:t xml:space="preserve">أبو المعالي البزاز
</w:t>
      </w:r>
    </w:p>
    <w:p>
      <w:pPr/>
      <w:r>
        <w:rPr/>
        <w:t xml:space="preserve">أبو المعالي البزاز </w:t>
      </w:r>
    </w:p>
    <w:p/>
    <w:p>
      <w:pPr/>
      <w:r>
        <w:rPr/>
        <w:t xml:space="preserve">أبو المعالي الحسن بن عبد الله بن أحمد البزاز من أهل نيسابور.</w:t>
      </w:r>
    </w:p>
    <w:p/>
    <w:p>
      <w:pPr/>
      <w:r>
        <w:rPr/>
        <w:t xml:space="preserve">هو بن أبي القاسم البزاز يتردد بمرو إلى القاضي محمد بن الحسين الأرسابندي، وشذا طرفاً من الفقه عليه، ثم انصرف إلى نيسابور وصار مقدم طائفته، والمرجوع إليه في النوازل، وكان ينسب إلى التشيع والغلو فيه، وكان طريفاً، سخي النفس، متواضعاً. سمع أبا المظفر موسى بن عمران الأنصاري، وأبا الحسن علي بن الحسن الصندلي، وأبا نصر أحمد بن محمد بن صاعد القاضي، وغيرهم، وكانت ولادته في النصف من رجب سنة إحدى وسبعين وأربعمئة بنيسابور، وتوفي بها في الثامن عشر من ذي القعدة سنة إحدى وخمسين وخمسمئة.</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2026-05-03T19:03:52+03:00</dcterms:created>
  <dcterms:modified xsi:type="dcterms:W3CDTF">2026-05-03T19:03:52+03:00</dcterms:modified>
</cp:coreProperties>
</file>

<file path=docProps/custom.xml><?xml version="1.0" encoding="utf-8"?>
<Properties xmlns="http://schemas.openxmlformats.org/officeDocument/2006/custom-properties" xmlns:vt="http://schemas.openxmlformats.org/officeDocument/2006/docPropsVTypes"/>
</file>