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النقيب بن إسماعيل
</w:t>
      </w:r>
    </w:p>
    <w:p>
      <w:pPr>
        <w:jc w:val="start"/>
        <w:bidi/>
      </w:pPr>
      <w:r>
        <w:rPr>
          <w:rFonts w:ascii="arial" w:hAnsi="arial" w:eastAsia="arial" w:cs="arial"/>
          <w:sz w:val="28"/>
          <w:szCs w:val="28"/>
          <w:b w:val="1"/>
          <w:bCs w:val="1"/>
          <w:rtl/>
        </w:rPr>
        <w:t xml:space="preserve">أبو جعفر النقيب بن إسماعيل
</w:t>
      </w:r>
    </w:p>
    <w:p>
      <w:pPr/>
      <w:r>
        <w:rPr/>
        <w:t xml:space="preserve">أبو جعفر النقيب بن إسماعيل ابن أحمد بن عبيد الله بن محمد الشريف</w:t>
      </w:r>
    </w:p>
    <w:p/>
    <w:p>
      <w:pPr/>
      <w:r>
        <w:rPr/>
        <w:t xml:space="preserve">بالمدينة ابن عبد الرحمن الشجري بن القاسم بن الحسن بن زيد بن الحسن بن علي بن أبي طالب.</w:t>
      </w:r>
    </w:p>
    <w:p/>
    <w:p>
      <w:pPr/>
      <w:r>
        <w:rPr/>
        <w:t xml:space="preserve">وصفه في عمدة الطالب بالنقيب النسابة وقال كان بآمل.</w:t>
      </w:r>
    </w:p>
    <w:p/>
    <w:p>
      <w:pPr/>
      <w:r>
        <w:rPr/>
        <w:t xml:space="preserve">(تنبيه)</w:t>
      </w:r>
    </w:p>
    <w:p/>
    <w:p>
      <w:pPr/>
      <w:r>
        <w:rPr/>
        <w:t xml:space="preserve">في مشتركات الكاظمي: ومنهم أبو جعفر المشترك بين ثقة وغيره ويمكن استعلام أنه الأحول محمد بن علي بن النعمان الثقة بما في بابه وأنه البصري الثقة برواية الفضل بن شاذان عنه وأنه الزيات محمد بن الحسين بن أبي الخطاب بما في بابه وأنه محمد بن موسى خوراء بما في بابه ولم يذكره شيخنا وقد يطلق أبو جعفر على محمد بن علي بن بابويه الثقة ويعرف بوقوعه في أول السند كثيرا وبما في بابه وعلى أحمد بن محمد بن عيسى الثقة ويعرف بما في بابه وكثيرا ما يرد سعد بن عبد الله عن أبي جعفر والمراد هذا. قال ويطلق أبو جعفر على ابن أبي عوف النجاري من أصحاب العياشي وعلى محمد بن عبد الله المدني وعلى المدائني وعلى محمد بن صدقه وعلى محمد بن عبد الله الحميري وعلى محمد بن سنان وعلى محمد بن الخليل صاحب هشام بن الحكم وعلى السقاء الأحوال المنجم ويوجد في بعض الأسانيد أبو جعفر الشامي ولكنه غير مذكور في كتب الرجال ويطلق على محمد بن عبد الرحمن بن قبة ’’اه’’.</w:t>
      </w:r>
    </w:p>
    <w:p>
      <w:pPr>
        <w:jc w:val="start"/>
        <w:bidi/>
      </w:pPr>
      <w:r>
        <w:rPr>
          <w:sz w:val="24"/>
          <w:szCs w:val="24"/>
          <w:b w:val="1"/>
          <w:bCs w:val="1"/>
          <w:rtl/>
        </w:rPr>
        <w:t xml:space="preserve">
أعيان الشيعة،(دار التعارف للمطبوعات - بيروت،1983،ط 1،ج 2،ص 317)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2026-06-05T01:30:54+03:00</dcterms:created>
  <dcterms:modified xsi:type="dcterms:W3CDTF">2026-06-05T01:30:54+03:00</dcterms:modified>
</cp:coreProperties>
</file>

<file path=docProps/custom.xml><?xml version="1.0" encoding="utf-8"?>
<Properties xmlns="http://schemas.openxmlformats.org/officeDocument/2006/custom-properties" xmlns:vt="http://schemas.openxmlformats.org/officeDocument/2006/docPropsVTypes"/>
</file>