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جرادة صاحب أمير المؤمنين
</w:t>
      </w:r>
    </w:p>
    <w:p>
      <w:pPr>
        <w:jc w:val="start"/>
        <w:bidi/>
      </w:pPr>
      <w:r>
        <w:rPr>
          <w:rFonts w:ascii="arial" w:hAnsi="arial" w:eastAsia="arial" w:cs="arial"/>
          <w:sz w:val="28"/>
          <w:szCs w:val="28"/>
          <w:b w:val="1"/>
          <w:bCs w:val="1"/>
          <w:rtl/>
        </w:rPr>
        <w:t xml:space="preserve">أبو جرادة صاحب أمير المؤمنين
</w:t>
      </w:r>
    </w:p>
    <w:p>
      <w:pPr/>
      <w:r>
        <w:rPr/>
        <w:t xml:space="preserve">أبو جرادة صاحب أمير المؤمنين اسمه عامر بن ربيعة بن خويلد.</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جرادة صاحب أمير المؤمنين عليه السلام
</w:t>
      </w:r>
    </w:p>
    <w:p>
      <w:pPr/>
      <w:r>
        <w:rPr/>
        <w:t xml:space="preserve">أبو جرادة صاحب أمير المؤمنين عليه السلام واسمه عامر بن ربيعة. </w:t>
      </w:r>
    </w:p>
    <w:p/>
    <w:p>
      <w:pPr/>
      <w:r>
        <w:rPr/>
        <w:t xml:space="preserve">وهو جد بني جرادة بحلب وقرأت في مخيم شيوخ الحافظ الدمياطي قال عيسى بن عبد الله بن محمد ابن أبي جرادة نقل من البصرة مع أبيه سنة 51 في الطاعون الجارف إلى حران ثم إلى حلب فولد بها موسى وولد موسى هارون وعبد الله جد بني أبي جرادة (انتهى) وهذا يخالف ما ذكره ياقوت في معجم الأدباء حيث قال: حدثني كمال الدين أطال الله بقاؤه قال كان عقب بني أبي جرادة من ساكني البصرة في محلة بني عقيل بها فكان أول من انتقل منهم عنها موسى بن عيسى بن عبد الله ابن محمد بن عامر أبي جرادة إلى حلب بعد المائتين للهجرة وكان وردها تاجرا وقال حدثني عمي أبو غانم محمد بن هبة الله بن محمد ابن أبي جرادة قال سمعت والدي يذكر فيما تأثره عن سلفه أن جدنا قدم من البصرة في تجارة إلى الشام فأستوطن حلب قال وسمعت والدي يذكر أنه بلغه أنه وقع طاعون بالبصرة فخرج منها جماعة من بني عقيل وقدموا الشام فأستوطن جدنا حلب قال وكان لموسى من الولد محمد وهارون وعبد الله فأما محمد فله ولد اسمه عبد الله ولا أدري أعقب أم لا وأما العقب الآن فلهارون وهو جدنا ولعبد الله وهم أعمامنا. </w:t>
      </w:r>
    </w:p>
    <w:p/>
    <w:p>
      <w:pPr/>
      <w:r>
        <w:rPr/>
        <w:t xml:space="preserve">ولم نجد لأبي جرادة ترجمة غير ما ذكرنا بعد التفتيش الكثير عليها في مظانها وقولهم إنه صاحب علي عليه السلام يقتضي أن يكون معروفا ولعلنا نجد له ذكرا وخبرا بعد ذلك فنثبته ’’إنش’’. </w:t>
      </w:r>
    </w:p>
    <w:p>
      <w:pPr>
        <w:jc w:val="start"/>
        <w:bidi/>
      </w:pPr>
      <w:r>
        <w:rPr>
          <w:sz w:val="24"/>
          <w:szCs w:val="24"/>
          <w:b w:val="1"/>
          <w:bCs w:val="1"/>
          <w:rtl/>
        </w:rPr>
        <w:t xml:space="preserve">
أعيان الشيعة،(دار التعارف للمطبوعات - بيروت،1983،ط 1،ج 7،ص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2026-06-04T23:09:59+03:00</dcterms:created>
  <dcterms:modified xsi:type="dcterms:W3CDTF">2026-06-04T23:09:59+03:00</dcterms:modified>
</cp:coreProperties>
</file>

<file path=docProps/custom.xml><?xml version="1.0" encoding="utf-8"?>
<Properties xmlns="http://schemas.openxmlformats.org/officeDocument/2006/custom-properties" xmlns:vt="http://schemas.openxmlformats.org/officeDocument/2006/docPropsVTypes"/>
</file>