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المرحومي
</w:t>
      </w:r>
    </w:p>
    <w:p>
      <w:pPr>
        <w:jc w:val="start"/>
        <w:bidi/>
      </w:pPr>
      <w:r>
        <w:rPr>
          <w:rFonts w:ascii="arial" w:hAnsi="arial" w:eastAsia="arial" w:cs="arial"/>
          <w:sz w:val="28"/>
          <w:szCs w:val="28"/>
          <w:b w:val="1"/>
          <w:bCs w:val="1"/>
          <w:rtl/>
        </w:rPr>
        <w:t xml:space="preserve">المرحومي
</w:t>
      </w:r>
    </w:p>
    <w:p>
      <w:pPr/>
      <w:r>
        <w:rPr/>
        <w:t xml:space="preserve">المرحومي  إبراهيم بن عطاء بن علي بن محمد، المرحومي: فقيه شافعي كان إمام الجامع الأزهر. نسبته إلى محلة المرحوم من الموفية، بمصر. قدم منها إلى الأزهر، وتفقه وتأدب، وتصدر للإقراء فيه وتولى أمامته. له (حاشية على شرح الإقناع للخطيب الشربيني - خ) في دار الكتب. و (حاشية على شرح شروط الجمزوري - خ) فقه، في الأزهرية.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2026-07-01T13:43:34+03:00</dcterms:created>
  <dcterms:modified xsi:type="dcterms:W3CDTF">2026-07-01T13:43:34+03:00</dcterms:modified>
</cp:coreProperties>
</file>

<file path=docProps/custom.xml><?xml version="1.0" encoding="utf-8"?>
<Properties xmlns="http://schemas.openxmlformats.org/officeDocument/2006/custom-properties" xmlns:vt="http://schemas.openxmlformats.org/officeDocument/2006/docPropsVTypes"/>
</file>