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سيابة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سيابة
</w:t>
      </w:r>
    </w:p>
    <w:p>
      <w:pPr/>
      <w:r>
        <w:rPr/>
        <w:t xml:space="preserve">ابن سيابة اسمه عبد الرحمن بن سيابة.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سيابة 
</w:t>
      </w:r>
    </w:p>
    <w:p>
      <w:pPr/>
      <w:r>
        <w:rPr/>
        <w:t xml:space="preserve">عبد الرحمن بن سيابة. </w:t>
      </w:r>
    </w:p>
    <w:p/>
    <w:p>
      <w:pPr/>
      <w:r>
        <w:rPr/>
        <w:t xml:space="preserve">سمع عليا، رضي الله عنه، قوله، سمع منه رئاب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2026-07-26T10:58:45+03:00</dcterms:created>
  <dcterms:modified xsi:type="dcterms:W3CDTF">2026-07-26T10:58:45+03:00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