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ظبية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ظبية
</w:t>
      </w:r>
    </w:p>
    <w:p>
      <w:pPr/>
      <w:r>
        <w:rPr/>
        <w:t xml:space="preserve">ابن أبي ظبية اسمه سليمان بن علي بن سليمان بن راشد بن أبي ظبية البحراني.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سليمان بن علي بن سليمان بن راشد
</w:t>
      </w:r>
    </w:p>
    <w:p>
      <w:pPr/>
      <w:r>
        <w:rPr/>
        <w:t xml:space="preserve">الشيخ سليمان بن علي بن سليمان بن راشد ابن أبي ظبية الشاخوري</w:t>
      </w:r>
    </w:p>
    <w:p/>
    <w:p>
      <w:pPr/>
      <w:r>
        <w:rPr/>
        <w:t xml:space="preserve">توفي سنة 1101.</w:t>
      </w:r>
    </w:p>
    <w:p/>
    <w:p>
      <w:pPr/>
      <w:r>
        <w:rPr/>
        <w:t xml:space="preserve">عالم فاضل له كتاب أصول الدين ذكره صاحب لؤلؤة البحرين.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2026-06-13T15:44:48+03:00</dcterms:created>
  <dcterms:modified xsi:type="dcterms:W3CDTF">2026-06-13T15:44:48+03:00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