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الحمراء أو الحراء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الحمراء أو الحراء
</w:t>
      </w:r>
    </w:p>
    <w:p>
      <w:pPr/>
      <w:r>
        <w:rPr/>
        <w:t xml:space="preserve">ابن أبي الحمراء أو الحراء روى الكليني في الكافي في باب ميراث دوي الأرحام مع المولى عن ابن فضال عنه عن أبي عبد اللع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2026-06-05T21:23:19+03:00</dcterms:created>
  <dcterms:modified xsi:type="dcterms:W3CDTF">2026-06-05T21:23:19+03:00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