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الحسين بن علي
</w:t>
      </w:r>
    </w:p>
    <w:p>
      <w:pPr>
        <w:jc w:val="start"/>
        <w:bidi/>
      </w:pPr>
      <w:r>
        <w:rPr>
          <w:rFonts w:ascii="arial" w:hAnsi="arial" w:eastAsia="arial" w:cs="arial"/>
          <w:sz w:val="28"/>
          <w:szCs w:val="28"/>
          <w:b w:val="1"/>
          <w:bCs w:val="1"/>
          <w:rtl/>
        </w:rPr>
        <w:t xml:space="preserve">الميرزا إبراهيم بن الحسين بن علي
</w:t>
      </w:r>
    </w:p>
    <w:p>
      <w:pPr/>
      <w:r>
        <w:rPr/>
        <w:t xml:space="preserve">الميرزا إبراهيم بن الحسين بن علي بن عبد الغفار الدنبلي الخوئي</w:t>
      </w:r>
    </w:p>
    <w:p/>
    <w:p>
      <w:pPr/>
      <w:r>
        <w:rPr/>
        <w:t xml:space="preserve">مرت ترجمته ولم نذكر تاريخ ولادته وعلمنا بعد ذلك أنه ولد سنة 1247 وأن من مشائخه الذين قرأ عليهم السيد حسين الكوهكمري التبريزي المعروف بالسيد حسين الترك وأن من مؤلفاته زيادة على ما ذكرناه حاشية على رسائل أستاذه الشيخ مرتضى الأنصاري موجودة في المكتبة الرضوية وكتاب في الدعوات مطبوع وتلخيص كتاب البحار يحكى عن السيد علي آغا نجل الميرزا السيد محمد حسن الشيرازي أنه جرت بين المترجم وبين والده الشيرازي مباحثه في بعض المسائل عند زيارة المترجم للمشاهدة الشريفة خالف فيها المترجم نظر الميرزا وبعد ذهابه من سامرا إلى الكاظمية أرسل إليه الميرزا أن الحق معه وكان كريما جوادا بارا بالفقراء والمعوزين ينفق عليهم نحو تسعة أعشار عائداته على كثرتها وينفق على نفسه العشر فقط.</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2026-06-05T21:26:30+03:00</dcterms:created>
  <dcterms:modified xsi:type="dcterms:W3CDTF">2026-06-05T21:26:30+03:00</dcterms:modified>
</cp:coreProperties>
</file>

<file path=docProps/custom.xml><?xml version="1.0" encoding="utf-8"?>
<Properties xmlns="http://schemas.openxmlformats.org/officeDocument/2006/custom-properties" xmlns:vt="http://schemas.openxmlformats.org/officeDocument/2006/docPropsVTypes"/>
</file>