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بن محمد حسين بن مجد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بن محمد حسين بن مجد الدين
</w:t>
      </w:r>
    </w:p>
    <w:p>
      <w:pPr/>
      <w:r>
        <w:rPr/>
        <w:t xml:space="preserve">الميرزا إبراهيم بن محمد حسين بن مجد الدين ابن السيد علي خان المدني الشيرازي</w:t>
      </w:r>
    </w:p>
    <w:p/>
    <w:p>
      <w:pPr/>
      <w:r>
        <w:rPr/>
        <w:t xml:space="preserve">له فضل الخطاب الإبراهيمية في شرح الروضة البهية شرح مبسوط في مجدل كبير وصل فيه إلى أواسط النكاح.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2026-06-06T02:12:16+03:00</dcterms:created>
  <dcterms:modified xsi:type="dcterms:W3CDTF">2026-06-06T02:12:16+03:00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