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محمد باقر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محمد باقر الجوهري
</w:t>
      </w:r>
    </w:p>
    <w:p>
      <w:pPr/>
      <w:r>
        <w:rPr/>
        <w:t xml:space="preserve">الميرزا إبراهيم بن محمد باقر الجوهري الهدوي الأصل القزويني</w:t>
      </w:r>
    </w:p>
    <w:p/>
    <w:p>
      <w:pPr/>
      <w:r>
        <w:rPr/>
        <w:t xml:space="preserve">المسكن الأصفهاني المدفن.</w:t>
      </w:r>
    </w:p>
    <w:p/>
    <w:p>
      <w:pPr/>
      <w:r>
        <w:rPr/>
        <w:t xml:space="preserve">توفي سنة 1253 ودفن في مقبرة آب بخشان من مقابر أصفهان.</w:t>
      </w:r>
    </w:p>
    <w:p/>
    <w:p>
      <w:pPr/>
      <w:r>
        <w:rPr/>
        <w:t xml:space="preserve">كان عالما عارفا أديبا شاعرا. وله من المؤلفات كتاب في الإمامة نظما وله طوفان البكاء المشهورة بالجوهرة.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2026-06-06T03:31:56+03:00</dcterms:created>
  <dcterms:modified xsi:type="dcterms:W3CDTF">2026-06-06T03:31:56+03:00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