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الحكري
</w:t>
      </w:r>
    </w:p>
    <w:p>
      <w:pPr/>
      <w:r>
        <w:rPr/>
        <w:t xml:space="preserve">الحكري  إبراهيم بن عبد الله الحكري، برهان الدين: نحوي، من أهل (الحكرة) بقرب الطائف. سكن مصر، وتولى القضاء بالمدينة، وناب بالحكم في القدس والخليل. وله (شرح الألفية) لابن مالك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الحكري المصري
</w:t>
      </w:r>
    </w:p>
    <w:p>
      <w:pPr/>
      <w:r>
        <w:rPr/>
        <w:t xml:space="preserve">إبراهيم بن عبد الله الحكري المصري. غير الذي قبله، شرح الألفية، وولي قضاء المدينة، وناب في الحكم بالقدس، والخليل عن السراج البلقيني.</w:t>
      </w:r>
    </w:p>
    <w:p/>
    <w:p>
      <w:pPr/>
      <w:r>
        <w:rPr/>
        <w:t xml:space="preserve">توفي في جمادى الأخيرة سنة 780.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2026-07-23T18:11:08+03:00</dcterms:created>
  <dcterms:modified xsi:type="dcterms:W3CDTF">2026-07-23T18:11:08+03:00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